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F1A85" w14:textId="77777777" w:rsidR="001608B3" w:rsidRPr="001608B3" w:rsidRDefault="001608B3" w:rsidP="001608B3">
      <w:pPr>
        <w:rPr>
          <w:i/>
          <w:iCs/>
        </w:rPr>
      </w:pPr>
      <w:proofErr w:type="gramStart"/>
      <w:r w:rsidRPr="001608B3">
        <w:rPr>
          <w:i/>
          <w:iCs/>
        </w:rPr>
        <w:t>par</w:t>
      </w:r>
      <w:proofErr w:type="gramEnd"/>
      <w:r w:rsidRPr="001608B3">
        <w:rPr>
          <w:i/>
          <w:iCs/>
        </w:rPr>
        <w:t xml:space="preserve"> malik B » 19 </w:t>
      </w:r>
      <w:proofErr w:type="spellStart"/>
      <w:r w:rsidRPr="001608B3">
        <w:rPr>
          <w:i/>
          <w:iCs/>
        </w:rPr>
        <w:t>Avr</w:t>
      </w:r>
      <w:proofErr w:type="spellEnd"/>
      <w:r w:rsidRPr="001608B3">
        <w:rPr>
          <w:i/>
          <w:iCs/>
        </w:rPr>
        <w:t xml:space="preserve"> 2020 21:38 </w:t>
      </w:r>
    </w:p>
    <w:p w14:paraId="70E312AB" w14:textId="63A3F5E3" w:rsidR="001608B3" w:rsidRDefault="001608B3" w:rsidP="001608B3">
      <w:proofErr w:type="gramStart"/>
      <w:r w:rsidRPr="001608B3">
        <w:t>tables</w:t>
      </w:r>
      <w:proofErr w:type="gramEnd"/>
      <w:r w:rsidRPr="001608B3">
        <w:t xml:space="preserve"> des matières:</w:t>
      </w:r>
      <w:r w:rsidRPr="001608B3">
        <w:br/>
        <w:t>_ LES BASES</w:t>
      </w:r>
      <w:r w:rsidRPr="001608B3">
        <w:br/>
        <w:t>_CONCEPTS</w:t>
      </w:r>
      <w:r w:rsidRPr="001608B3">
        <w:br/>
        <w:t>_VWAP AIMANT</w:t>
      </w:r>
      <w:r w:rsidRPr="001608B3">
        <w:br/>
        <w:t>_L'INERTIE</w:t>
      </w:r>
      <w:r w:rsidRPr="001608B3">
        <w:br/>
        <w:t>_MACRO et MICRO VWAP</w:t>
      </w:r>
      <w:r w:rsidRPr="001608B3">
        <w:br/>
        <w:t>_BANDES DE DÉVIATION STANDARD (écart type)</w:t>
      </w:r>
      <w:r w:rsidRPr="001608B3">
        <w:br/>
        <w:t>_Trader avec le VWAP</w:t>
      </w:r>
      <w:r w:rsidRPr="001608B3">
        <w:br/>
      </w:r>
      <w:r w:rsidRPr="001608B3">
        <w:br/>
        <w:t>LES BASES</w:t>
      </w:r>
      <w:r w:rsidRPr="001608B3">
        <w:br/>
      </w:r>
      <w:r w:rsidRPr="001608B3">
        <w:br/>
        <w:t>Le VWAP est la moyenne de toutes les transactions en une journée, ajustée quand plus (ou moins) de volume se négocie à un prix donné. Il s'agit d'une moyenne des coûts en devise qui reflète fidèlement lorsque les transactions plus importantes se produisent (par rapport aux transactions plus petites et sans conséquence) plus objectivement que les </w:t>
      </w:r>
      <w:hyperlink r:id="rId4" w:history="1">
        <w:r w:rsidRPr="001608B3">
          <w:t>moyennes mobiles</w:t>
        </w:r>
      </w:hyperlink>
      <w:r w:rsidRPr="001608B3">
        <w:t> traditionnelles.</w:t>
      </w:r>
      <w:r w:rsidRPr="001608B3">
        <w:br/>
        <w:t> </w:t>
      </w:r>
      <w:r w:rsidRPr="001608B3">
        <w:br/>
        <w:t>Mathématiquement, le VWAP est le montant </w:t>
      </w:r>
      <w:hyperlink r:id="rId5" w:history="1">
        <w:r w:rsidRPr="001608B3">
          <w:t>total</w:t>
        </w:r>
      </w:hyperlink>
      <w:r w:rsidRPr="001608B3">
        <w:t> des transactions effectuées au cours d'une certaine période divisé par le montant total des </w:t>
      </w:r>
      <w:hyperlink r:id="rId6" w:history="1">
        <w:r w:rsidRPr="001608B3">
          <w:t>volumes</w:t>
        </w:r>
      </w:hyperlink>
      <w:r w:rsidRPr="001608B3">
        <w:t> échangés au cours de la même période.</w:t>
      </w:r>
      <w:r w:rsidRPr="001608B3">
        <w:br/>
      </w:r>
      <w:r w:rsidRPr="001608B3">
        <w:br/>
        <w:t>∑( volume X prix)</w:t>
      </w:r>
      <w:r w:rsidRPr="001608B3">
        <w:br/>
        <w:t>--------------------------------------</w:t>
      </w:r>
      <w:r w:rsidRPr="001608B3">
        <w:br/>
        <w:t>∑ Volume</w:t>
      </w:r>
      <w:r w:rsidRPr="001608B3">
        <w:br/>
      </w:r>
      <w:r w:rsidRPr="001608B3">
        <w:br/>
        <w:t>initialement utilisé par les sociétés de négociation institutionnelles au milieu des années 80 comme référence d'exécution (</w:t>
      </w:r>
      <w:r w:rsidRPr="001608B3">
        <w:t>exécution</w:t>
      </w:r>
      <w:r w:rsidRPr="001608B3">
        <w:t xml:space="preserve"> benchmark), le VWAP évalue l'opportunité d'une position accumulée pour le compte d'un client (achats préférables si dessous et ventes si dessus) comme point de référence critique et objectif.</w:t>
      </w:r>
      <w:r w:rsidRPr="001608B3">
        <w:br/>
        <w:t> </w:t>
      </w:r>
      <w:r w:rsidRPr="001608B3">
        <w:br/>
        <w:t>L'exécution d'ordres importants sans impact sur le marché nécessite plusieurs transactions relativement petites au cours de la période d'acquisition. Le prix moyen de la position est ensuite comparé au prix moyen du marché (VWAP) pour évaluer sa qualité.</w:t>
      </w:r>
      <w:r w:rsidRPr="001608B3">
        <w:br/>
      </w:r>
      <w:r w:rsidRPr="001608B3">
        <w:br/>
        <w:t>Menée par le développement technologique, l'utilisation du VWAP a évolué au fil du temps. Les institutions se sont largement tournées vers l'exécution automatisée et des algorithmes supplémentaires à la place des traders manuels, mais le VWAP reste toujours aussi crucial.</w:t>
      </w:r>
      <w:r w:rsidRPr="001608B3">
        <w:br/>
        <w:t>VWAP représente le vrai prix moyen du marché sur la durée indiquée, le plus souvent l'intégralité d'une journée de trading.</w:t>
      </w:r>
      <w:r w:rsidRPr="001608B3">
        <w:br/>
      </w:r>
    </w:p>
    <w:p w14:paraId="656986DF" w14:textId="77777777" w:rsidR="001608B3" w:rsidRDefault="001608B3">
      <w:r>
        <w:br w:type="page"/>
      </w:r>
    </w:p>
    <w:p w14:paraId="5B6F0045" w14:textId="77777777" w:rsidR="001608B3" w:rsidRDefault="001608B3" w:rsidP="001608B3">
      <w:r w:rsidRPr="001608B3">
        <w:lastRenderedPageBreak/>
        <w:br/>
        <w:t>CONCEPTS DE BASE</w:t>
      </w:r>
      <w:r w:rsidRPr="001608B3">
        <w:br/>
      </w:r>
      <w:r w:rsidRPr="001608B3">
        <w:br/>
        <w:t>Le VWAP est cumulatif d'un événement; la plupart des analyses techniques sont périodiques sur un nombre récent de bougies.</w:t>
      </w:r>
      <w:r w:rsidRPr="001608B3">
        <w:br/>
      </w:r>
      <w:r w:rsidRPr="001608B3">
        <w:br/>
        <w:t xml:space="preserve">Le VWAP n'est pas susceptible au changement de période ou de </w:t>
      </w:r>
      <w:proofErr w:type="spellStart"/>
      <w:r w:rsidRPr="001608B3">
        <w:t>timeframe</w:t>
      </w:r>
      <w:proofErr w:type="spellEnd"/>
      <w:r w:rsidRPr="001608B3">
        <w:t xml:space="preserve"> - contrairement aux moyennes mobiles.</w:t>
      </w:r>
      <w:r w:rsidRPr="001608B3">
        <w:br/>
      </w:r>
      <w:r w:rsidRPr="001608B3">
        <w:br/>
        <w:t>En plus de fournir un contexte accru, le calcul cumulatif du VWAP évite toute confusion concernant les unité de temps et les paramètres d'indicateur sélectionnés qui existent dans presque tous les autres éléments de l'analyse technique.</w:t>
      </w:r>
      <w:r w:rsidRPr="001608B3">
        <w:br/>
        <w:t> </w:t>
      </w:r>
      <w:r w:rsidRPr="001608B3">
        <w:br/>
        <w:t xml:space="preserve">Peu importe que vous utilisiez un graphique d'une minute, un graphique horaire ou quoi que ce soit entre les deux. Il n'y a qu'un seul VWAP </w:t>
      </w:r>
      <w:proofErr w:type="spellStart"/>
      <w:r w:rsidRPr="001608B3">
        <w:t>intraday</w:t>
      </w:r>
      <w:proofErr w:type="spellEnd"/>
      <w:r w:rsidRPr="001608B3">
        <w:t>. Le basculement entre les périodes affectera la granularité à laquelle vous pouvez voir le comportement VWAP, mais le calcul reste constant.</w:t>
      </w:r>
      <w:r w:rsidRPr="001608B3">
        <w:br/>
        <w:t> </w:t>
      </w:r>
      <w:r w:rsidRPr="001608B3">
        <w:br/>
        <w:t>On ne peut pas en dire autant des indicateurs périodiques, où une </w:t>
      </w:r>
      <w:hyperlink r:id="rId7" w:history="1">
        <w:r w:rsidRPr="001608B3">
          <w:t>moyenne mobile</w:t>
        </w:r>
      </w:hyperlink>
      <w:r w:rsidRPr="001608B3">
        <w:t> sur 20 périodes sur un graphique d'une minute sera souvent radicalement différente de ce qu'elle serait avec toute autre période d'agrégation.</w:t>
      </w:r>
      <w:r w:rsidRPr="001608B3">
        <w:br/>
        <w:t>Considérez chaque graphique comme un portrait dessiné </w:t>
      </w:r>
      <w:hyperlink r:id="rId8" w:history="1">
        <w:r w:rsidRPr="001608B3">
          <w:t>bougie</w:t>
        </w:r>
      </w:hyperlink>
      <w:r w:rsidRPr="001608B3">
        <w:t> par bougie. Imaginez si vous ne pouviez voir que les 9, 20 ou 50 derniers coups de pinceau faits par l'artiste, alors que tout ce qui précède disparaît de la vue pendant qu'ils continuent à peindre.</w:t>
      </w:r>
      <w:r w:rsidRPr="001608B3">
        <w:br/>
        <w:t> </w:t>
      </w:r>
      <w:r w:rsidRPr="001608B3">
        <w:br/>
        <w:t>C'est le problème des indicateurs périodiques. Les données au-delà de la période de rétrospective arbitraire que vous avez sélectionnée (9ema, 20sma, etc.) ne sont plus prises en compte dans le calcul, vous laissant une image incomplète du marché.</w:t>
      </w:r>
      <w:r w:rsidRPr="001608B3">
        <w:br/>
        <w:t> </w:t>
      </w:r>
      <w:r w:rsidRPr="001608B3">
        <w:br/>
        <w:t>La nature cumulative du VWAP vous permet de voir la peinture se développer au cours de la journée tout en prenant en compte chaque bougie. Aucune donnée n'est laissée de côté, car chaque transaction qui a eu lieu devrait prendre en compte la façon dont vous interprétez l'état actuel du marché et ce qui est le plus susceptible de se produire ensuite.</w:t>
      </w:r>
      <w:r w:rsidRPr="001608B3">
        <w:br/>
      </w:r>
    </w:p>
    <w:p w14:paraId="23D14433" w14:textId="77777777" w:rsidR="001608B3" w:rsidRDefault="001608B3">
      <w:r>
        <w:br w:type="page"/>
      </w:r>
    </w:p>
    <w:p w14:paraId="0D87D25F" w14:textId="06053E9A" w:rsidR="001608B3" w:rsidRDefault="001608B3" w:rsidP="001608B3">
      <w:r w:rsidRPr="001608B3">
        <w:lastRenderedPageBreak/>
        <w:br/>
        <w:t>VWAP AIMANT</w:t>
      </w:r>
      <w:r w:rsidRPr="001608B3">
        <w:br/>
      </w:r>
      <w:r w:rsidRPr="001608B3">
        <w:br/>
        <w:t>Le VWAP est un aimant qui attire ou repousse. Identifier le style de marché en vigueur - vers ou loin du VWAP - devrait être votre objectif principal.</w:t>
      </w:r>
      <w:r w:rsidRPr="001608B3">
        <w:br/>
      </w:r>
      <w:r w:rsidRPr="001608B3">
        <w:br/>
        <w:t>Il y a un mythe souvent répété au sujet VWAP qui est que le prix est toujours attiré par VWAP - ce n'est pas le cas! Une telle interprétation conduit à une approche trop simpliste consistant à vendre à découvert des titres qui se négocient trop au-dessus du VWAP et à acheter ceux qui tombent trop au-dessous, dans l'attente d'un renversement imminent.</w:t>
      </w:r>
      <w:r w:rsidRPr="001608B3">
        <w:br/>
        <w:t> </w:t>
      </w:r>
      <w:r w:rsidRPr="001608B3">
        <w:br/>
        <w:t>Si cela était vrai, nous n'aurions jamais assisté à des tendances soutenues. La réalité la plus nuancée est que le prix peut être tiré vers le VWAP ou en être activement repoussé.</w:t>
      </w:r>
      <w:r w:rsidRPr="001608B3">
        <w:br/>
        <w:t> </w:t>
      </w:r>
      <w:r w:rsidRPr="001608B3">
        <w:br/>
        <w:t xml:space="preserve">Trader le magnétisme du VWAP - plutôt que simplement la direction (longue ou courte) d'un graphique - est un objectif plus sophistiqué. Si vous avez déjà été aligné sur la direction du marché, mais frustré lorsqu'un </w:t>
      </w:r>
      <w:proofErr w:type="spellStart"/>
      <w:r w:rsidRPr="001608B3">
        <w:t>breakout</w:t>
      </w:r>
      <w:proofErr w:type="spellEnd"/>
      <w:r w:rsidRPr="001608B3">
        <w:t xml:space="preserve"> consolide (ou vice versa), vous avez donc connu un "désalignement '' magnétique. Que j'essaierais de </w:t>
      </w:r>
      <w:r w:rsidRPr="001608B3">
        <w:t>développer</w:t>
      </w:r>
      <w:r w:rsidRPr="001608B3">
        <w:t xml:space="preserve"> plus tard</w:t>
      </w:r>
      <w:r w:rsidRPr="001608B3">
        <w:br/>
      </w:r>
      <w:r w:rsidRPr="001608B3">
        <w:br/>
        <w:t>L'INERTIE</w:t>
      </w:r>
      <w:r w:rsidRPr="001608B3">
        <w:br/>
      </w:r>
      <w:r w:rsidRPr="001608B3">
        <w:br/>
        <w:t>En accordant un poids égal au volume dans son calcul, le VWAP est intuitivement plus sensible aux mouvements de prix sur un volume important par rapport à ceux qui ont moins d'argent derrière eux. Comme le VWAP absorbe plus de données de prix et de volume au fil du temps, il devient plus résistant aux oscillations aléatoires et aux changements brusques. Cela lui permet de refléter avec précision uniquement les changements significatifs de la valeur d'un marché, renforçant sa crédibilité en tant que point de référence fiable.</w:t>
      </w:r>
      <w:r w:rsidRPr="001608B3">
        <w:br/>
        <w:t> </w:t>
      </w:r>
      <w:r w:rsidRPr="001608B3">
        <w:br/>
        <w:t xml:space="preserve">On </w:t>
      </w:r>
      <w:r w:rsidRPr="001608B3">
        <w:t>considère</w:t>
      </w:r>
      <w:r w:rsidRPr="001608B3">
        <w:t xml:space="preserve"> cela comme l'inertie du VWAP, où sa </w:t>
      </w:r>
      <w:hyperlink r:id="rId9" w:history="1">
        <w:r w:rsidRPr="001608B3">
          <w:t>résistance</w:t>
        </w:r>
      </w:hyperlink>
      <w:r w:rsidRPr="001608B3">
        <w:t> au changement le rend beaucoup plus fiable que les indicateurs à court terme émettant un nouveau signal d'achat / vente toutes les deux minutes. Lorsque le VWAP réagit aux mouvements du marché en pente (</w:t>
      </w:r>
      <w:proofErr w:type="spellStart"/>
      <w:r w:rsidRPr="001608B3">
        <w:t>slop</w:t>
      </w:r>
      <w:proofErr w:type="spellEnd"/>
      <w:r w:rsidRPr="001608B3">
        <w:t>) ou en tendance, les traders doivent y faire attention.</w:t>
      </w:r>
      <w:r w:rsidRPr="001608B3">
        <w:br/>
      </w:r>
      <w:r w:rsidRPr="001608B3">
        <w:br/>
        <w:t>MACRO et MICRO VWAP</w:t>
      </w:r>
      <w:r w:rsidRPr="001608B3">
        <w:br/>
      </w:r>
      <w:r w:rsidRPr="001608B3">
        <w:br/>
        <w:t>L'idée sous-jacente du VWAP est le lancement d'une moyenne cumulative pondérée en fonction du volume à partir d'un point de départ ancré. Tous les VWAP efficaces sont lancés lors d'un événement significatif qui devrait indiquer un changement attendu dans le comportement du marché, représentant le prix moyen continu à partir de ce moment.</w:t>
      </w:r>
      <w:r w:rsidRPr="001608B3">
        <w:br/>
        <w:t> </w:t>
      </w:r>
      <w:r w:rsidRPr="001608B3">
        <w:br/>
        <w:t>Bien que le plus souvent connu comme un indicateur sur une journée tracé de l'ouverture du marché à sa clôture , le VWAP est applicable aux durées plus longues (plusieurs jours) et plus petites (</w:t>
      </w:r>
      <w:proofErr w:type="spellStart"/>
      <w:r w:rsidRPr="001608B3">
        <w:t>intraday</w:t>
      </w:r>
      <w:proofErr w:type="spellEnd"/>
      <w:r w:rsidRPr="001608B3">
        <w:t>)</w:t>
      </w:r>
      <w:r w:rsidRPr="001608B3">
        <w:br/>
      </w:r>
    </w:p>
    <w:p w14:paraId="06B9155F" w14:textId="77777777" w:rsidR="001608B3" w:rsidRDefault="001608B3">
      <w:r>
        <w:br w:type="page"/>
      </w:r>
    </w:p>
    <w:p w14:paraId="29B92ED8" w14:textId="2E9E3737" w:rsidR="001608B3" w:rsidRPr="001608B3" w:rsidRDefault="001608B3" w:rsidP="001608B3">
      <w:r w:rsidRPr="001608B3">
        <w:lastRenderedPageBreak/>
        <w:br/>
        <w:t>Macro VWAP - lancé à partir d'un événement fondamental significatif (bénéfices, communiqué de presse, etc.) ou technique (gap importants, récentes ouvertures de marché, etc.)</w:t>
      </w:r>
      <w:r w:rsidRPr="001608B3">
        <w:br/>
      </w:r>
      <w:r w:rsidRPr="001608B3">
        <w:br/>
        <w:t xml:space="preserve">Micro VWAP - initiés à partir des bas et des hauts </w:t>
      </w:r>
      <w:proofErr w:type="spellStart"/>
      <w:r w:rsidRPr="001608B3">
        <w:t>intraday</w:t>
      </w:r>
      <w:proofErr w:type="spellEnd"/>
      <w:r w:rsidRPr="001608B3">
        <w:t xml:space="preserve"> pour générer des limites de support et de résistance dérivées des prix extrêmes</w:t>
      </w:r>
      <w:r w:rsidRPr="001608B3">
        <w:br/>
      </w:r>
      <w:r w:rsidRPr="001608B3">
        <w:br/>
        <w:t>Nous avons </w:t>
      </w:r>
      <w:hyperlink r:id="rId10" w:history="1">
        <w:r w:rsidRPr="001608B3">
          <w:t>tendance</w:t>
        </w:r>
      </w:hyperlink>
      <w:r w:rsidRPr="001608B3">
        <w:t> à voir le monde à travers des événements significatifs plutôt que des retours en arrière périodiques, alors pourquoi ne pas appliquer la même approche à notre analyse technique? Vous ne demanderiez pas à vos amis "comment avez-vous été au cours des 20/50/100 derniers jours?", Alors ne faites pas de même avec le graphique que vous analysez.</w:t>
      </w:r>
      <w:r w:rsidRPr="001608B3">
        <w:br/>
        <w:t> </w:t>
      </w:r>
      <w:r w:rsidRPr="001608B3">
        <w:br/>
        <w:t>Les moyennes liées aux événements nous facilitent la relation avec le graphique, en encadrant les données comme une histoire plutôt que comme une série de nombres aléatoires.</w:t>
      </w:r>
    </w:p>
    <w:p w14:paraId="788248C9" w14:textId="24F203FC" w:rsidR="001608B3" w:rsidRPr="001608B3" w:rsidRDefault="001608B3" w:rsidP="001608B3">
      <w:pPr>
        <w:rPr>
          <w:b/>
          <w:bCs/>
        </w:rPr>
      </w:pPr>
      <w:r w:rsidRPr="001608B3">
        <w:rPr>
          <w:b/>
          <w:bCs/>
        </w:rPr>
        <w:drawing>
          <wp:inline distT="0" distB="0" distL="0" distR="0" wp14:anchorId="3BE4FEA8" wp14:editId="05F50CA0">
            <wp:extent cx="5760720" cy="4318635"/>
            <wp:effectExtent l="0" t="0" r="0" b="5715"/>
            <wp:docPr id="18" name="Image 18">
              <a:hlinkClick xmlns:a="http://schemas.openxmlformats.org/drawingml/2006/main" r:id="rId11" tooltip="&quot;AAPL-earnings.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a:hlinkClick r:id="rId11" tooltip="&quot;AAPL-earnings.png&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4318635"/>
                    </a:xfrm>
                    <a:prstGeom prst="rect">
                      <a:avLst/>
                    </a:prstGeom>
                    <a:noFill/>
                    <a:ln>
                      <a:noFill/>
                    </a:ln>
                  </pic:spPr>
                </pic:pic>
              </a:graphicData>
            </a:graphic>
          </wp:inline>
        </w:drawing>
      </w:r>
    </w:p>
    <w:p w14:paraId="392F4FC4" w14:textId="14D7BC9E" w:rsidR="001608B3" w:rsidRPr="001608B3" w:rsidRDefault="001608B3" w:rsidP="001608B3">
      <w:pPr>
        <w:rPr>
          <w:b/>
          <w:bCs/>
        </w:rPr>
      </w:pPr>
      <w:r w:rsidRPr="001608B3">
        <w:rPr>
          <w:b/>
          <w:bCs/>
        </w:rPr>
        <w:lastRenderedPageBreak/>
        <w:drawing>
          <wp:inline distT="0" distB="0" distL="0" distR="0" wp14:anchorId="5B0A521D" wp14:editId="4D32118A">
            <wp:extent cx="5760720" cy="4318635"/>
            <wp:effectExtent l="0" t="0" r="0" b="5715"/>
            <wp:docPr id="17" name="Image 17">
              <a:hlinkClick xmlns:a="http://schemas.openxmlformats.org/drawingml/2006/main" r:id="rId13" tooltip="&quot;DJI-GAP.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a:hlinkClick r:id="rId13" tooltip="&quot;DJI-GAP.png&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4318635"/>
                    </a:xfrm>
                    <a:prstGeom prst="rect">
                      <a:avLst/>
                    </a:prstGeom>
                    <a:noFill/>
                    <a:ln>
                      <a:noFill/>
                    </a:ln>
                  </pic:spPr>
                </pic:pic>
              </a:graphicData>
            </a:graphic>
          </wp:inline>
        </w:drawing>
      </w:r>
    </w:p>
    <w:p w14:paraId="2B0C0402" w14:textId="07027E06" w:rsidR="001608B3" w:rsidRDefault="001608B3">
      <w:r>
        <w:br w:type="page"/>
      </w:r>
    </w:p>
    <w:p w14:paraId="05A94FA0" w14:textId="77777777" w:rsidR="001608B3" w:rsidRDefault="001608B3" w:rsidP="001608B3"/>
    <w:p w14:paraId="1DD68B38" w14:textId="3AD57C3D" w:rsidR="001608B3" w:rsidRPr="001608B3" w:rsidRDefault="001608B3" w:rsidP="001608B3">
      <w:r w:rsidRPr="001608B3">
        <w:t>BANDES DE DÉVIATION STANDARD</w:t>
      </w:r>
      <w:r w:rsidRPr="001608B3">
        <w:br/>
        <w:t>Ecarts types</w:t>
      </w:r>
      <w:r w:rsidRPr="001608B3">
        <w:br/>
      </w:r>
      <w:r w:rsidRPr="001608B3">
        <w:br/>
        <w:t>Sans métrique pour déterminer la position du graphique par rapport au VWAP, notre seule méthode d'évaluation - sommes-nous au-dessus ou au-dessous? - est considérablement simplifié. Les écarts-types sont une mesure statistique objective qui quantifie la variance dans un ensemble de données, une petite valeur indiquant que la plupart des points de données sont proches de la moyenne et une valeur plus grande indiquant une dispersion plus large. En appliquant cet outil au trading avec VWAP servant de moyenne, nous pouvons tracer ces écarts sous forme de bandes pour créer une unité de mesure visible pour caractériser les mouvements du marché et évaluer la volatilité.</w:t>
      </w:r>
    </w:p>
    <w:p w14:paraId="1DBE8085" w14:textId="73B9FF36" w:rsidR="001608B3" w:rsidRPr="001608B3" w:rsidRDefault="001608B3" w:rsidP="001608B3">
      <w:pPr>
        <w:rPr>
          <w:b/>
          <w:bCs/>
        </w:rPr>
      </w:pPr>
      <w:r w:rsidRPr="001608B3">
        <w:rPr>
          <w:b/>
          <w:bCs/>
        </w:rPr>
        <w:drawing>
          <wp:inline distT="0" distB="0" distL="0" distR="0" wp14:anchorId="484D7F4F" wp14:editId="55F35969">
            <wp:extent cx="5760720" cy="4318635"/>
            <wp:effectExtent l="0" t="0" r="0" b="5715"/>
            <wp:docPr id="15" name="Image 15">
              <a:hlinkClick xmlns:a="http://schemas.openxmlformats.org/drawingml/2006/main" r:id="rId15" tooltip="&quot;ECART TYPE.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a:hlinkClick r:id="rId15" tooltip="&quot;ECART TYPE.png&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318635"/>
                    </a:xfrm>
                    <a:prstGeom prst="rect">
                      <a:avLst/>
                    </a:prstGeom>
                    <a:noFill/>
                    <a:ln>
                      <a:noFill/>
                    </a:ln>
                  </pic:spPr>
                </pic:pic>
              </a:graphicData>
            </a:graphic>
          </wp:inline>
        </w:drawing>
      </w:r>
    </w:p>
    <w:p w14:paraId="29E7602E" w14:textId="05758F91" w:rsidR="001608B3" w:rsidRDefault="001608B3" w:rsidP="001608B3">
      <w:r w:rsidRPr="001608B3">
        <w:t>Les bandes de déviation sont tracées en continu à côté de VWAP, s'ajustant automatiquement à mesure que nous recevons plus de données. Ils commencent généralement petits et augmentent à mesure que les prix commencent à se détacher de la moyenne du marché, mais en l'absence de volume ou de </w:t>
      </w:r>
      <w:hyperlink r:id="rId17" w:history="1">
        <w:r w:rsidRPr="001608B3">
          <w:t>volatilité</w:t>
        </w:r>
      </w:hyperlink>
      <w:r w:rsidRPr="001608B3">
        <w:t> notable, ils restent stables tout au long de la journée.</w:t>
      </w:r>
      <w:r w:rsidRPr="001608B3">
        <w:br/>
        <w:t> </w:t>
      </w:r>
      <w:r w:rsidRPr="001608B3">
        <w:br/>
        <w:t>Le taux auquel ils changent variera en fonction à la fois de l'éloignement du VWAP et du volume des transactions lorsque nous le faisons.</w:t>
      </w:r>
    </w:p>
    <w:p w14:paraId="0A116E0B" w14:textId="59B75098" w:rsidR="001608B3" w:rsidRDefault="001608B3">
      <w:r>
        <w:br w:type="page"/>
      </w:r>
    </w:p>
    <w:p w14:paraId="689BC4B0" w14:textId="77777777" w:rsidR="001608B3" w:rsidRPr="001608B3" w:rsidRDefault="001608B3" w:rsidP="001608B3"/>
    <w:p w14:paraId="5C42A128" w14:textId="77777777" w:rsidR="001608B3" w:rsidRPr="001608B3" w:rsidRDefault="001608B3" w:rsidP="001608B3">
      <w:r w:rsidRPr="001608B3">
        <w:t>Trader avec le VWAP</w:t>
      </w:r>
      <w:r w:rsidRPr="001608B3">
        <w:br/>
      </w:r>
      <w:r w:rsidRPr="001608B3">
        <w:br/>
        <w:t>L'application de VWAP et de bandes de déviation à un graphique crée un système de grille virtuelle qui vous permet de classer l'activité du marché en thèmes significatifs. Comme les balises de voie sur une route, les bandes de déviation regroupent thématiquement le marché en zones. Chaque région a des caractéristiques uniques et des attentes différentes (directionnel long / court versus aucune </w:t>
      </w:r>
      <w:hyperlink r:id="rId18" w:history="1">
        <w:r w:rsidRPr="001608B3">
          <w:t>tendance</w:t>
        </w:r>
      </w:hyperlink>
      <w:r w:rsidRPr="001608B3">
        <w:t> identifiable). Cela permet un recadrage supérieur de la façon dont nous analysons un graphique, en passant de "est-ce un long ou un court?" à "est-ce même en mouvement ?".</w:t>
      </w:r>
      <w:r w:rsidRPr="001608B3">
        <w:br/>
        <w:t> </w:t>
      </w:r>
      <w:r w:rsidRPr="001608B3">
        <w:br/>
        <w:t>Bien que simple et compréhensible, afficher chaque graphique sous forme de long ou de court est un choix binaire erroné. Plutôt que du </w:t>
      </w:r>
      <w:hyperlink r:id="rId19" w:history="1">
        <w:r w:rsidRPr="001608B3">
          <w:t>bull</w:t>
        </w:r>
      </w:hyperlink>
      <w:r w:rsidRPr="001608B3">
        <w:t xml:space="preserve"> VS </w:t>
      </w:r>
      <w:proofErr w:type="spellStart"/>
      <w:r w:rsidRPr="001608B3">
        <w:t>bear</w:t>
      </w:r>
      <w:proofErr w:type="spellEnd"/>
      <w:r w:rsidRPr="001608B3">
        <w:t>, c'est </w:t>
      </w:r>
      <w:hyperlink r:id="rId20" w:history="1">
        <w:r w:rsidRPr="001608B3">
          <w:t>Range</w:t>
        </w:r>
      </w:hyperlink>
      <w:r w:rsidRPr="001608B3">
        <w:t> VS tendance (ou aléatoire vs non aléatoire). Pendant les périodes de consolidation, il n'y a aucun avantage perceptible pour vous aider à gagner de l'argent. Par conséquent, la distinction entre les marchés directionnels et non directionnels devrait être l'objectif principal.</w:t>
      </w:r>
      <w:r w:rsidRPr="001608B3">
        <w:br/>
      </w:r>
      <w:r w:rsidRPr="001608B3">
        <w:br/>
        <w:t xml:space="preserve">Les quatre zones de la grille </w:t>
      </w:r>
      <w:proofErr w:type="spellStart"/>
      <w:r w:rsidRPr="001608B3">
        <w:t>vwap</w:t>
      </w:r>
      <w:proofErr w:type="spellEnd"/>
    </w:p>
    <w:p w14:paraId="7F6735B4" w14:textId="05038D04" w:rsidR="001608B3" w:rsidRPr="001608B3" w:rsidRDefault="001608B3" w:rsidP="001608B3">
      <w:pPr>
        <w:rPr>
          <w:b/>
          <w:bCs/>
        </w:rPr>
      </w:pPr>
      <w:r w:rsidRPr="001608B3">
        <w:rPr>
          <w:b/>
          <w:bCs/>
        </w:rPr>
        <w:drawing>
          <wp:inline distT="0" distB="0" distL="0" distR="0" wp14:anchorId="60E12EE7" wp14:editId="16F30B41">
            <wp:extent cx="5760720" cy="4318635"/>
            <wp:effectExtent l="0" t="0" r="0" b="5715"/>
            <wp:docPr id="12" name="Image 12">
              <a:hlinkClick xmlns:a="http://schemas.openxmlformats.org/drawingml/2006/main" r:id="rId21" tooltip="&quot;4cas.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a:hlinkClick r:id="rId21" tooltip="&quot;4cas.png&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4318635"/>
                    </a:xfrm>
                    <a:prstGeom prst="rect">
                      <a:avLst/>
                    </a:prstGeom>
                    <a:noFill/>
                    <a:ln>
                      <a:noFill/>
                    </a:ln>
                  </pic:spPr>
                </pic:pic>
              </a:graphicData>
            </a:graphic>
          </wp:inline>
        </w:drawing>
      </w:r>
    </w:p>
    <w:p w14:paraId="3D13AEB4" w14:textId="4B605D61" w:rsidR="001608B3" w:rsidRDefault="001608B3" w:rsidP="001608B3">
      <w:r w:rsidRPr="001608B3">
        <w:t>Le franchissement des prix entre les zones VWAP est un événement notable et, le plus souvent, il rencontre un certain degré de résistance. Les barrières séparant les zones (VWAP et bandes de déviation) sont par ailleurs des zones cachées de soutien et de </w:t>
      </w:r>
      <w:hyperlink r:id="rId23" w:history="1">
        <w:r w:rsidRPr="001608B3">
          <w:t>résistance</w:t>
        </w:r>
      </w:hyperlink>
      <w:r w:rsidRPr="001608B3">
        <w:t> qui peuvent être utilisées pour les prise de position et entrevoir les niveaux de risque, ainsi que pour la gestion continue une fois qu'une position a été initiée.</w:t>
      </w:r>
      <w:r w:rsidRPr="001608B3">
        <w:br/>
        <w:t> </w:t>
      </w:r>
      <w:r w:rsidRPr="001608B3">
        <w:br/>
      </w:r>
      <w:r w:rsidRPr="001608B3">
        <w:lastRenderedPageBreak/>
        <w:t>Ces barrières sont calculées automatiquement et dynamiques, fluctuant tout au long de la journée à mesure que nous recevons de nouvelles données de prix et de volume. Les zones s'étendent lorsque le prix maintient une </w:t>
      </w:r>
      <w:hyperlink r:id="rId24" w:history="1">
        <w:r w:rsidRPr="001608B3">
          <w:t>tendance</w:t>
        </w:r>
      </w:hyperlink>
      <w:r w:rsidRPr="001608B3">
        <w:t> et se contractent lorsque le prix se consolide vers le VWAP. Le passage des prix dans une autre zone signifie généralement un changement de tendance, mais la pente (</w:t>
      </w:r>
      <w:proofErr w:type="spellStart"/>
      <w:r w:rsidRPr="001608B3">
        <w:t>slop</w:t>
      </w:r>
      <w:proofErr w:type="spellEnd"/>
      <w:r w:rsidRPr="001608B3">
        <w:t>) du VWAP (le taux auquel il évolue) peut préfigurer un changement à venir encore plus à l'avance.</w:t>
      </w:r>
    </w:p>
    <w:p w14:paraId="4AEB2B2E" w14:textId="77777777" w:rsidR="001608B3" w:rsidRPr="001608B3" w:rsidRDefault="001608B3" w:rsidP="001608B3"/>
    <w:p w14:paraId="76B6A3F9" w14:textId="77777777" w:rsidR="001608B3" w:rsidRPr="001608B3" w:rsidRDefault="001608B3" w:rsidP="001608B3">
      <w:r w:rsidRPr="001608B3">
        <w:t>CONCLUSION</w:t>
      </w:r>
      <w:r w:rsidRPr="001608B3">
        <w:br/>
        <w:t>À la base, l’objectif du trading technique est de :</w:t>
      </w:r>
      <w:r w:rsidRPr="001608B3">
        <w:br/>
        <w:t>-identifier une </w:t>
      </w:r>
      <w:hyperlink r:id="rId25" w:history="1">
        <w:r w:rsidRPr="001608B3">
          <w:t>tendance</w:t>
        </w:r>
      </w:hyperlink>
      <w:r w:rsidRPr="001608B3">
        <w:t> probable ou une contre-tendance qui devrait se poursuivre.</w:t>
      </w:r>
      <w:r w:rsidRPr="001608B3">
        <w:br/>
        <w:t>-entrer en position à un niveau crédible de support ou de </w:t>
      </w:r>
      <w:hyperlink r:id="rId26" w:history="1">
        <w:r w:rsidRPr="001608B3">
          <w:t>résistance</w:t>
        </w:r>
      </w:hyperlink>
      <w:r w:rsidRPr="001608B3">
        <w:t> avec un risque défini.</w:t>
      </w:r>
      <w:r w:rsidRPr="001608B3">
        <w:br/>
        <w:t>-surveiller la probabilité de poursuite ou d’inversion imminente pour optimiser votre sortie</w:t>
      </w:r>
      <w:r w:rsidRPr="001608B3">
        <w:br/>
      </w:r>
      <w:r w:rsidRPr="001608B3">
        <w:br/>
        <w:t>Je suis peut-être partial, mais le VWAP répond à tous ces critères. Le système de grille nous permet de mieux voir l’orientation prévue du marché, et les obstacles dynamiques qui bordent chaque zone nous fournissent des niveaux de risque détectables S/R et des coupes claire que nous pouvons utiliser à la fois pour entrer les positions et pour les gérer activement au fur et à mesure qu’ils progressent.</w:t>
      </w:r>
      <w:r w:rsidRPr="001608B3">
        <w:br/>
      </w:r>
      <w:r w:rsidRPr="001608B3">
        <w:br/>
        <w:t>Bien que le VWAP n’est pas le Saint Graal, il est un utilitaire exceptionnel pour différencier entre un comportement aléatoire et non-aléatoire (tendance) .</w:t>
      </w:r>
      <w:r w:rsidRPr="001608B3">
        <w:br/>
        <w:t>Il ne vous sauvera pas du trading indisciplinée, mais c’est un indicateur intuitif, son objectif et reconnu sur le plan institutionnel - il fournit une clarté bien nécessaire sur les marchés chaotiques.</w:t>
      </w:r>
      <w:r w:rsidRPr="001608B3">
        <w:br/>
      </w:r>
      <w:r w:rsidRPr="001608B3">
        <w:br/>
        <w:t>Le VWAP agit comme un trader voudrait que ses indicateurs se comportent: de manière appropriée, en donnant de nombreux (mais pas trop!) Signaux crédibles, avec peu d'espace pour l'avis personnel - limitant le nombre de façons dont le trader peut influer sur l'analyse. Il donne une forme et un sens à des graphiques qui par ailleurs semblent arbitraires, visualisant la «main invisible» d'Adam Smith de la mécanique de l'offre et de la demande d'une manière accessible .</w:t>
      </w:r>
    </w:p>
    <w:p w14:paraId="0EAA35D7" w14:textId="77777777" w:rsidR="005544BA" w:rsidRDefault="005544BA"/>
    <w:sectPr w:rsidR="005544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55"/>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D4B"/>
    <w:rsid w:val="001608B3"/>
    <w:rsid w:val="005544BA"/>
    <w:rsid w:val="00DF5D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133D8"/>
  <w15:chartTrackingRefBased/>
  <w15:docId w15:val="{A2D298D6-F9FF-488C-B39B-F024B621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1608B3"/>
    <w:rPr>
      <w:color w:val="0563C1" w:themeColor="hyperlink"/>
      <w:u w:val="single"/>
    </w:rPr>
  </w:style>
  <w:style w:type="character" w:styleId="Mentionnonrsolue">
    <w:name w:val="Unresolved Mention"/>
    <w:basedOn w:val="Policepardfaut"/>
    <w:uiPriority w:val="99"/>
    <w:semiHidden/>
    <w:unhideWhenUsed/>
    <w:rsid w:val="00160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51067">
      <w:bodyDiv w:val="1"/>
      <w:marLeft w:val="0"/>
      <w:marRight w:val="0"/>
      <w:marTop w:val="0"/>
      <w:marBottom w:val="0"/>
      <w:divBdr>
        <w:top w:val="none" w:sz="0" w:space="0" w:color="auto"/>
        <w:left w:val="none" w:sz="0" w:space="0" w:color="auto"/>
        <w:bottom w:val="none" w:sz="0" w:space="0" w:color="auto"/>
        <w:right w:val="none" w:sz="0" w:space="0" w:color="auto"/>
      </w:divBdr>
      <w:divsChild>
        <w:div w:id="1111391339">
          <w:marLeft w:val="0"/>
          <w:marRight w:val="0"/>
          <w:marTop w:val="0"/>
          <w:marBottom w:val="150"/>
          <w:divBdr>
            <w:top w:val="none" w:sz="0" w:space="0" w:color="auto"/>
            <w:left w:val="none" w:sz="0" w:space="0" w:color="auto"/>
            <w:bottom w:val="none" w:sz="0" w:space="0" w:color="auto"/>
            <w:right w:val="none" w:sz="0" w:space="0" w:color="auto"/>
          </w:divBdr>
          <w:divsChild>
            <w:div w:id="493227561">
              <w:marLeft w:val="0"/>
              <w:marRight w:val="0"/>
              <w:marTop w:val="0"/>
              <w:marBottom w:val="0"/>
              <w:divBdr>
                <w:top w:val="none" w:sz="0" w:space="0" w:color="auto"/>
                <w:left w:val="none" w:sz="0" w:space="0" w:color="auto"/>
                <w:bottom w:val="none" w:sz="0" w:space="0" w:color="auto"/>
                <w:right w:val="none" w:sz="0" w:space="0" w:color="auto"/>
              </w:divBdr>
              <w:divsChild>
                <w:div w:id="2031638822">
                  <w:marLeft w:val="-225"/>
                  <w:marRight w:val="-225"/>
                  <w:marTop w:val="0"/>
                  <w:marBottom w:val="0"/>
                  <w:divBdr>
                    <w:top w:val="none" w:sz="0" w:space="0" w:color="auto"/>
                    <w:left w:val="none" w:sz="0" w:space="0" w:color="auto"/>
                    <w:bottom w:val="none" w:sz="0" w:space="0" w:color="auto"/>
                    <w:right w:val="none" w:sz="0" w:space="0" w:color="auto"/>
                  </w:divBdr>
                  <w:divsChild>
                    <w:div w:id="446386984">
                      <w:marLeft w:val="0"/>
                      <w:marRight w:val="0"/>
                      <w:marTop w:val="0"/>
                      <w:marBottom w:val="0"/>
                      <w:divBdr>
                        <w:top w:val="none" w:sz="0" w:space="0" w:color="auto"/>
                        <w:left w:val="none" w:sz="0" w:space="0" w:color="auto"/>
                        <w:bottom w:val="none" w:sz="0" w:space="0" w:color="auto"/>
                        <w:right w:val="none" w:sz="0" w:space="0" w:color="auto"/>
                      </w:divBdr>
                      <w:divsChild>
                        <w:div w:id="822281012">
                          <w:marLeft w:val="0"/>
                          <w:marRight w:val="0"/>
                          <w:marTop w:val="0"/>
                          <w:marBottom w:val="75"/>
                          <w:divBdr>
                            <w:top w:val="none" w:sz="0" w:space="0" w:color="auto"/>
                            <w:left w:val="none" w:sz="0" w:space="0" w:color="auto"/>
                            <w:bottom w:val="none" w:sz="0" w:space="0" w:color="auto"/>
                            <w:right w:val="none" w:sz="0" w:space="0" w:color="auto"/>
                          </w:divBdr>
                        </w:div>
                        <w:div w:id="1780643004">
                          <w:marLeft w:val="0"/>
                          <w:marRight w:val="0"/>
                          <w:marTop w:val="0"/>
                          <w:marBottom w:val="0"/>
                          <w:divBdr>
                            <w:top w:val="none" w:sz="0" w:space="0" w:color="auto"/>
                            <w:left w:val="none" w:sz="0" w:space="0" w:color="auto"/>
                            <w:bottom w:val="none" w:sz="0" w:space="0" w:color="auto"/>
                            <w:right w:val="none" w:sz="0" w:space="0" w:color="auto"/>
                          </w:divBdr>
                        </w:div>
                        <w:div w:id="490218776">
                          <w:marLeft w:val="0"/>
                          <w:marRight w:val="0"/>
                          <w:marTop w:val="225"/>
                          <w:marBottom w:val="225"/>
                          <w:divBdr>
                            <w:top w:val="none" w:sz="0" w:space="0" w:color="auto"/>
                            <w:left w:val="none" w:sz="0" w:space="0" w:color="auto"/>
                            <w:bottom w:val="none" w:sz="0" w:space="0" w:color="auto"/>
                            <w:right w:val="none" w:sz="0" w:space="0" w:color="auto"/>
                          </w:divBdr>
                          <w:divsChild>
                            <w:div w:id="1836921930">
                              <w:marLeft w:val="0"/>
                              <w:marRight w:val="0"/>
                              <w:marTop w:val="0"/>
                              <w:marBottom w:val="75"/>
                              <w:divBdr>
                                <w:top w:val="none" w:sz="0" w:space="0" w:color="auto"/>
                                <w:left w:val="none" w:sz="0" w:space="0" w:color="auto"/>
                                <w:bottom w:val="none" w:sz="0" w:space="0" w:color="auto"/>
                                <w:right w:val="none" w:sz="0" w:space="0" w:color="auto"/>
                              </w:divBdr>
                            </w:div>
                            <w:div w:id="156310568">
                              <w:marLeft w:val="0"/>
                              <w:marRight w:val="0"/>
                              <w:marTop w:val="0"/>
                              <w:marBottom w:val="0"/>
                              <w:divBdr>
                                <w:top w:val="none" w:sz="0" w:space="0" w:color="auto"/>
                                <w:left w:val="none" w:sz="0" w:space="0" w:color="auto"/>
                                <w:bottom w:val="none" w:sz="0" w:space="0" w:color="auto"/>
                                <w:right w:val="none" w:sz="0" w:space="0" w:color="auto"/>
                              </w:divBdr>
                            </w:div>
                            <w:div w:id="8245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58570">
                      <w:marLeft w:val="0"/>
                      <w:marRight w:val="0"/>
                      <w:marTop w:val="0"/>
                      <w:marBottom w:val="0"/>
                      <w:divBdr>
                        <w:top w:val="none" w:sz="0" w:space="0" w:color="auto"/>
                        <w:left w:val="none" w:sz="0" w:space="0" w:color="auto"/>
                        <w:bottom w:val="none" w:sz="0" w:space="0" w:color="auto"/>
                        <w:right w:val="none" w:sz="0" w:space="0" w:color="auto"/>
                      </w:divBdr>
                      <w:divsChild>
                        <w:div w:id="287467706">
                          <w:marLeft w:val="0"/>
                          <w:marRight w:val="0"/>
                          <w:marTop w:val="0"/>
                          <w:marBottom w:val="0"/>
                          <w:divBdr>
                            <w:top w:val="none" w:sz="0" w:space="0" w:color="auto"/>
                            <w:left w:val="none" w:sz="0" w:space="0" w:color="auto"/>
                            <w:bottom w:val="none" w:sz="0" w:space="0" w:color="auto"/>
                            <w:right w:val="none" w:sz="0" w:space="0" w:color="auto"/>
                          </w:divBdr>
                          <w:divsChild>
                            <w:div w:id="1322779375">
                              <w:marLeft w:val="0"/>
                              <w:marRight w:val="0"/>
                              <w:marTop w:val="0"/>
                              <w:marBottom w:val="45"/>
                              <w:divBdr>
                                <w:top w:val="none" w:sz="0" w:space="0" w:color="auto"/>
                                <w:left w:val="none" w:sz="0" w:space="0" w:color="auto"/>
                                <w:bottom w:val="none" w:sz="0" w:space="0" w:color="auto"/>
                                <w:right w:val="none" w:sz="0" w:space="0" w:color="auto"/>
                              </w:divBdr>
                            </w:div>
                            <w:div w:id="436481788">
                              <w:marLeft w:val="0"/>
                              <w:marRight w:val="0"/>
                              <w:marTop w:val="45"/>
                              <w:marBottom w:val="0"/>
                              <w:divBdr>
                                <w:top w:val="none" w:sz="0" w:space="0" w:color="auto"/>
                                <w:left w:val="none" w:sz="0" w:space="0" w:color="auto"/>
                                <w:bottom w:val="none" w:sz="0" w:space="0" w:color="auto"/>
                                <w:right w:val="none" w:sz="0" w:space="0" w:color="auto"/>
                              </w:divBdr>
                            </w:div>
                            <w:div w:id="4118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265408">
          <w:marLeft w:val="0"/>
          <w:marRight w:val="0"/>
          <w:marTop w:val="0"/>
          <w:marBottom w:val="150"/>
          <w:divBdr>
            <w:top w:val="none" w:sz="0" w:space="0" w:color="auto"/>
            <w:left w:val="none" w:sz="0" w:space="0" w:color="auto"/>
            <w:bottom w:val="none" w:sz="0" w:space="0" w:color="auto"/>
            <w:right w:val="none" w:sz="0" w:space="0" w:color="auto"/>
          </w:divBdr>
          <w:divsChild>
            <w:div w:id="273292426">
              <w:marLeft w:val="0"/>
              <w:marRight w:val="0"/>
              <w:marTop w:val="0"/>
              <w:marBottom w:val="0"/>
              <w:divBdr>
                <w:top w:val="none" w:sz="0" w:space="0" w:color="auto"/>
                <w:left w:val="none" w:sz="0" w:space="0" w:color="auto"/>
                <w:bottom w:val="none" w:sz="0" w:space="0" w:color="auto"/>
                <w:right w:val="none" w:sz="0" w:space="0" w:color="auto"/>
              </w:divBdr>
              <w:divsChild>
                <w:div w:id="1095247308">
                  <w:marLeft w:val="-225"/>
                  <w:marRight w:val="-225"/>
                  <w:marTop w:val="0"/>
                  <w:marBottom w:val="0"/>
                  <w:divBdr>
                    <w:top w:val="none" w:sz="0" w:space="0" w:color="auto"/>
                    <w:left w:val="none" w:sz="0" w:space="0" w:color="auto"/>
                    <w:bottom w:val="none" w:sz="0" w:space="0" w:color="auto"/>
                    <w:right w:val="none" w:sz="0" w:space="0" w:color="auto"/>
                  </w:divBdr>
                  <w:divsChild>
                    <w:div w:id="268438935">
                      <w:marLeft w:val="0"/>
                      <w:marRight w:val="0"/>
                      <w:marTop w:val="0"/>
                      <w:marBottom w:val="0"/>
                      <w:divBdr>
                        <w:top w:val="none" w:sz="0" w:space="0" w:color="auto"/>
                        <w:left w:val="none" w:sz="0" w:space="0" w:color="auto"/>
                        <w:bottom w:val="none" w:sz="0" w:space="0" w:color="auto"/>
                        <w:right w:val="none" w:sz="0" w:space="0" w:color="auto"/>
                      </w:divBdr>
                      <w:divsChild>
                        <w:div w:id="794644046">
                          <w:marLeft w:val="0"/>
                          <w:marRight w:val="0"/>
                          <w:marTop w:val="0"/>
                          <w:marBottom w:val="75"/>
                          <w:divBdr>
                            <w:top w:val="none" w:sz="0" w:space="0" w:color="auto"/>
                            <w:left w:val="none" w:sz="0" w:space="0" w:color="auto"/>
                            <w:bottom w:val="none" w:sz="0" w:space="0" w:color="auto"/>
                            <w:right w:val="none" w:sz="0" w:space="0" w:color="auto"/>
                          </w:divBdr>
                        </w:div>
                        <w:div w:id="399138241">
                          <w:marLeft w:val="0"/>
                          <w:marRight w:val="0"/>
                          <w:marTop w:val="0"/>
                          <w:marBottom w:val="0"/>
                          <w:divBdr>
                            <w:top w:val="none" w:sz="0" w:space="0" w:color="auto"/>
                            <w:left w:val="none" w:sz="0" w:space="0" w:color="auto"/>
                            <w:bottom w:val="none" w:sz="0" w:space="0" w:color="auto"/>
                            <w:right w:val="none" w:sz="0" w:space="0" w:color="auto"/>
                          </w:divBdr>
                        </w:div>
                        <w:div w:id="164592092">
                          <w:marLeft w:val="0"/>
                          <w:marRight w:val="0"/>
                          <w:marTop w:val="225"/>
                          <w:marBottom w:val="225"/>
                          <w:divBdr>
                            <w:top w:val="none" w:sz="0" w:space="0" w:color="auto"/>
                            <w:left w:val="none" w:sz="0" w:space="0" w:color="auto"/>
                            <w:bottom w:val="none" w:sz="0" w:space="0" w:color="auto"/>
                            <w:right w:val="none" w:sz="0" w:space="0" w:color="auto"/>
                          </w:divBdr>
                          <w:divsChild>
                            <w:div w:id="1643652924">
                              <w:marLeft w:val="0"/>
                              <w:marRight w:val="0"/>
                              <w:marTop w:val="0"/>
                              <w:marBottom w:val="75"/>
                              <w:divBdr>
                                <w:top w:val="none" w:sz="0" w:space="0" w:color="auto"/>
                                <w:left w:val="none" w:sz="0" w:space="0" w:color="auto"/>
                                <w:bottom w:val="none" w:sz="0" w:space="0" w:color="auto"/>
                                <w:right w:val="none" w:sz="0" w:space="0" w:color="auto"/>
                              </w:divBdr>
                            </w:div>
                            <w:div w:id="128785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52267">
                      <w:marLeft w:val="0"/>
                      <w:marRight w:val="0"/>
                      <w:marTop w:val="0"/>
                      <w:marBottom w:val="0"/>
                      <w:divBdr>
                        <w:top w:val="none" w:sz="0" w:space="0" w:color="auto"/>
                        <w:left w:val="none" w:sz="0" w:space="0" w:color="auto"/>
                        <w:bottom w:val="none" w:sz="0" w:space="0" w:color="auto"/>
                        <w:right w:val="none" w:sz="0" w:space="0" w:color="auto"/>
                      </w:divBdr>
                      <w:divsChild>
                        <w:div w:id="1661034771">
                          <w:marLeft w:val="0"/>
                          <w:marRight w:val="0"/>
                          <w:marTop w:val="0"/>
                          <w:marBottom w:val="0"/>
                          <w:divBdr>
                            <w:top w:val="none" w:sz="0" w:space="0" w:color="auto"/>
                            <w:left w:val="none" w:sz="0" w:space="0" w:color="auto"/>
                            <w:bottom w:val="none" w:sz="0" w:space="0" w:color="auto"/>
                            <w:right w:val="none" w:sz="0" w:space="0" w:color="auto"/>
                          </w:divBdr>
                          <w:divsChild>
                            <w:div w:id="1809546317">
                              <w:marLeft w:val="0"/>
                              <w:marRight w:val="0"/>
                              <w:marTop w:val="0"/>
                              <w:marBottom w:val="45"/>
                              <w:divBdr>
                                <w:top w:val="none" w:sz="0" w:space="0" w:color="auto"/>
                                <w:left w:val="none" w:sz="0" w:space="0" w:color="auto"/>
                                <w:bottom w:val="none" w:sz="0" w:space="0" w:color="auto"/>
                                <w:right w:val="none" w:sz="0" w:space="0" w:color="auto"/>
                              </w:divBdr>
                            </w:div>
                            <w:div w:id="1258948153">
                              <w:marLeft w:val="0"/>
                              <w:marRight w:val="0"/>
                              <w:marTop w:val="45"/>
                              <w:marBottom w:val="0"/>
                              <w:divBdr>
                                <w:top w:val="none" w:sz="0" w:space="0" w:color="auto"/>
                                <w:left w:val="none" w:sz="0" w:space="0" w:color="auto"/>
                                <w:bottom w:val="none" w:sz="0" w:space="0" w:color="auto"/>
                                <w:right w:val="none" w:sz="0" w:space="0" w:color="auto"/>
                              </w:divBdr>
                            </w:div>
                            <w:div w:id="90997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748872">
          <w:marLeft w:val="0"/>
          <w:marRight w:val="0"/>
          <w:marTop w:val="0"/>
          <w:marBottom w:val="150"/>
          <w:divBdr>
            <w:top w:val="none" w:sz="0" w:space="0" w:color="auto"/>
            <w:left w:val="none" w:sz="0" w:space="0" w:color="auto"/>
            <w:bottom w:val="none" w:sz="0" w:space="0" w:color="auto"/>
            <w:right w:val="none" w:sz="0" w:space="0" w:color="auto"/>
          </w:divBdr>
          <w:divsChild>
            <w:div w:id="715348722">
              <w:marLeft w:val="0"/>
              <w:marRight w:val="0"/>
              <w:marTop w:val="0"/>
              <w:marBottom w:val="0"/>
              <w:divBdr>
                <w:top w:val="none" w:sz="0" w:space="0" w:color="auto"/>
                <w:left w:val="none" w:sz="0" w:space="0" w:color="auto"/>
                <w:bottom w:val="none" w:sz="0" w:space="0" w:color="auto"/>
                <w:right w:val="none" w:sz="0" w:space="0" w:color="auto"/>
              </w:divBdr>
              <w:divsChild>
                <w:div w:id="860432111">
                  <w:marLeft w:val="-225"/>
                  <w:marRight w:val="-225"/>
                  <w:marTop w:val="0"/>
                  <w:marBottom w:val="0"/>
                  <w:divBdr>
                    <w:top w:val="none" w:sz="0" w:space="0" w:color="auto"/>
                    <w:left w:val="none" w:sz="0" w:space="0" w:color="auto"/>
                    <w:bottom w:val="none" w:sz="0" w:space="0" w:color="auto"/>
                    <w:right w:val="none" w:sz="0" w:space="0" w:color="auto"/>
                  </w:divBdr>
                  <w:divsChild>
                    <w:div w:id="1506092313">
                      <w:marLeft w:val="0"/>
                      <w:marRight w:val="0"/>
                      <w:marTop w:val="0"/>
                      <w:marBottom w:val="0"/>
                      <w:divBdr>
                        <w:top w:val="none" w:sz="0" w:space="0" w:color="auto"/>
                        <w:left w:val="none" w:sz="0" w:space="0" w:color="auto"/>
                        <w:bottom w:val="none" w:sz="0" w:space="0" w:color="auto"/>
                        <w:right w:val="none" w:sz="0" w:space="0" w:color="auto"/>
                      </w:divBdr>
                      <w:divsChild>
                        <w:div w:id="1692149218">
                          <w:marLeft w:val="0"/>
                          <w:marRight w:val="0"/>
                          <w:marTop w:val="0"/>
                          <w:marBottom w:val="75"/>
                          <w:divBdr>
                            <w:top w:val="none" w:sz="0" w:space="0" w:color="auto"/>
                            <w:left w:val="none" w:sz="0" w:space="0" w:color="auto"/>
                            <w:bottom w:val="none" w:sz="0" w:space="0" w:color="auto"/>
                            <w:right w:val="none" w:sz="0" w:space="0" w:color="auto"/>
                          </w:divBdr>
                        </w:div>
                        <w:div w:id="1675571573">
                          <w:marLeft w:val="0"/>
                          <w:marRight w:val="0"/>
                          <w:marTop w:val="0"/>
                          <w:marBottom w:val="0"/>
                          <w:divBdr>
                            <w:top w:val="none" w:sz="0" w:space="0" w:color="auto"/>
                            <w:left w:val="none" w:sz="0" w:space="0" w:color="auto"/>
                            <w:bottom w:val="none" w:sz="0" w:space="0" w:color="auto"/>
                            <w:right w:val="none" w:sz="0" w:space="0" w:color="auto"/>
                          </w:divBdr>
                        </w:div>
                      </w:divsChild>
                    </w:div>
                    <w:div w:id="419528674">
                      <w:marLeft w:val="0"/>
                      <w:marRight w:val="0"/>
                      <w:marTop w:val="0"/>
                      <w:marBottom w:val="0"/>
                      <w:divBdr>
                        <w:top w:val="none" w:sz="0" w:space="0" w:color="auto"/>
                        <w:left w:val="none" w:sz="0" w:space="0" w:color="auto"/>
                        <w:bottom w:val="none" w:sz="0" w:space="0" w:color="auto"/>
                        <w:right w:val="none" w:sz="0" w:space="0" w:color="auto"/>
                      </w:divBdr>
                      <w:divsChild>
                        <w:div w:id="1595215">
                          <w:marLeft w:val="0"/>
                          <w:marRight w:val="0"/>
                          <w:marTop w:val="0"/>
                          <w:marBottom w:val="0"/>
                          <w:divBdr>
                            <w:top w:val="none" w:sz="0" w:space="0" w:color="auto"/>
                            <w:left w:val="none" w:sz="0" w:space="0" w:color="auto"/>
                            <w:bottom w:val="none" w:sz="0" w:space="0" w:color="auto"/>
                            <w:right w:val="none" w:sz="0" w:space="0" w:color="auto"/>
                          </w:divBdr>
                          <w:divsChild>
                            <w:div w:id="1072193501">
                              <w:marLeft w:val="0"/>
                              <w:marRight w:val="0"/>
                              <w:marTop w:val="0"/>
                              <w:marBottom w:val="45"/>
                              <w:divBdr>
                                <w:top w:val="none" w:sz="0" w:space="0" w:color="auto"/>
                                <w:left w:val="none" w:sz="0" w:space="0" w:color="auto"/>
                                <w:bottom w:val="none" w:sz="0" w:space="0" w:color="auto"/>
                                <w:right w:val="none" w:sz="0" w:space="0" w:color="auto"/>
                              </w:divBdr>
                            </w:div>
                            <w:div w:id="1041053123">
                              <w:marLeft w:val="0"/>
                              <w:marRight w:val="0"/>
                              <w:marTop w:val="45"/>
                              <w:marBottom w:val="0"/>
                              <w:divBdr>
                                <w:top w:val="none" w:sz="0" w:space="0" w:color="auto"/>
                                <w:left w:val="none" w:sz="0" w:space="0" w:color="auto"/>
                                <w:bottom w:val="none" w:sz="0" w:space="0" w:color="auto"/>
                                <w:right w:val="none" w:sz="0" w:space="0" w:color="auto"/>
                              </w:divBdr>
                            </w:div>
                            <w:div w:id="58970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898895">
          <w:marLeft w:val="0"/>
          <w:marRight w:val="0"/>
          <w:marTop w:val="0"/>
          <w:marBottom w:val="150"/>
          <w:divBdr>
            <w:top w:val="none" w:sz="0" w:space="0" w:color="auto"/>
            <w:left w:val="none" w:sz="0" w:space="0" w:color="auto"/>
            <w:bottom w:val="none" w:sz="0" w:space="0" w:color="auto"/>
            <w:right w:val="none" w:sz="0" w:space="0" w:color="auto"/>
          </w:divBdr>
          <w:divsChild>
            <w:div w:id="841241797">
              <w:marLeft w:val="0"/>
              <w:marRight w:val="0"/>
              <w:marTop w:val="0"/>
              <w:marBottom w:val="0"/>
              <w:divBdr>
                <w:top w:val="none" w:sz="0" w:space="0" w:color="auto"/>
                <w:left w:val="none" w:sz="0" w:space="0" w:color="auto"/>
                <w:bottom w:val="none" w:sz="0" w:space="0" w:color="auto"/>
                <w:right w:val="none" w:sz="0" w:space="0" w:color="auto"/>
              </w:divBdr>
              <w:divsChild>
                <w:div w:id="1825704815">
                  <w:marLeft w:val="-225"/>
                  <w:marRight w:val="-225"/>
                  <w:marTop w:val="0"/>
                  <w:marBottom w:val="0"/>
                  <w:divBdr>
                    <w:top w:val="none" w:sz="0" w:space="0" w:color="auto"/>
                    <w:left w:val="none" w:sz="0" w:space="0" w:color="auto"/>
                    <w:bottom w:val="none" w:sz="0" w:space="0" w:color="auto"/>
                    <w:right w:val="none" w:sz="0" w:space="0" w:color="auto"/>
                  </w:divBdr>
                  <w:divsChild>
                    <w:div w:id="690377400">
                      <w:marLeft w:val="0"/>
                      <w:marRight w:val="0"/>
                      <w:marTop w:val="0"/>
                      <w:marBottom w:val="0"/>
                      <w:divBdr>
                        <w:top w:val="none" w:sz="0" w:space="0" w:color="auto"/>
                        <w:left w:val="none" w:sz="0" w:space="0" w:color="auto"/>
                        <w:bottom w:val="none" w:sz="0" w:space="0" w:color="auto"/>
                        <w:right w:val="none" w:sz="0" w:space="0" w:color="auto"/>
                      </w:divBdr>
                      <w:divsChild>
                        <w:div w:id="668677326">
                          <w:marLeft w:val="0"/>
                          <w:marRight w:val="0"/>
                          <w:marTop w:val="0"/>
                          <w:marBottom w:val="75"/>
                          <w:divBdr>
                            <w:top w:val="none" w:sz="0" w:space="0" w:color="auto"/>
                            <w:left w:val="none" w:sz="0" w:space="0" w:color="auto"/>
                            <w:bottom w:val="none" w:sz="0" w:space="0" w:color="auto"/>
                            <w:right w:val="none" w:sz="0" w:space="0" w:color="auto"/>
                          </w:divBdr>
                        </w:div>
                        <w:div w:id="1610432201">
                          <w:marLeft w:val="0"/>
                          <w:marRight w:val="0"/>
                          <w:marTop w:val="0"/>
                          <w:marBottom w:val="0"/>
                          <w:divBdr>
                            <w:top w:val="none" w:sz="0" w:space="0" w:color="auto"/>
                            <w:left w:val="none" w:sz="0" w:space="0" w:color="auto"/>
                            <w:bottom w:val="none" w:sz="0" w:space="0" w:color="auto"/>
                            <w:right w:val="none" w:sz="0" w:space="0" w:color="auto"/>
                          </w:divBdr>
                        </w:div>
                        <w:div w:id="272128528">
                          <w:marLeft w:val="0"/>
                          <w:marRight w:val="0"/>
                          <w:marTop w:val="225"/>
                          <w:marBottom w:val="225"/>
                          <w:divBdr>
                            <w:top w:val="none" w:sz="0" w:space="0" w:color="auto"/>
                            <w:left w:val="none" w:sz="0" w:space="0" w:color="auto"/>
                            <w:bottom w:val="none" w:sz="0" w:space="0" w:color="auto"/>
                            <w:right w:val="none" w:sz="0" w:space="0" w:color="auto"/>
                          </w:divBdr>
                          <w:divsChild>
                            <w:div w:id="1194491645">
                              <w:marLeft w:val="0"/>
                              <w:marRight w:val="0"/>
                              <w:marTop w:val="0"/>
                              <w:marBottom w:val="75"/>
                              <w:divBdr>
                                <w:top w:val="none" w:sz="0" w:space="0" w:color="auto"/>
                                <w:left w:val="none" w:sz="0" w:space="0" w:color="auto"/>
                                <w:bottom w:val="none" w:sz="0" w:space="0" w:color="auto"/>
                                <w:right w:val="none" w:sz="0" w:space="0" w:color="auto"/>
                              </w:divBdr>
                            </w:div>
                            <w:div w:id="162303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777307">
                      <w:marLeft w:val="0"/>
                      <w:marRight w:val="0"/>
                      <w:marTop w:val="0"/>
                      <w:marBottom w:val="0"/>
                      <w:divBdr>
                        <w:top w:val="none" w:sz="0" w:space="0" w:color="auto"/>
                        <w:left w:val="none" w:sz="0" w:space="0" w:color="auto"/>
                        <w:bottom w:val="none" w:sz="0" w:space="0" w:color="auto"/>
                        <w:right w:val="none" w:sz="0" w:space="0" w:color="auto"/>
                      </w:divBdr>
                      <w:divsChild>
                        <w:div w:id="119305703">
                          <w:marLeft w:val="0"/>
                          <w:marRight w:val="0"/>
                          <w:marTop w:val="0"/>
                          <w:marBottom w:val="0"/>
                          <w:divBdr>
                            <w:top w:val="none" w:sz="0" w:space="0" w:color="auto"/>
                            <w:left w:val="none" w:sz="0" w:space="0" w:color="auto"/>
                            <w:bottom w:val="none" w:sz="0" w:space="0" w:color="auto"/>
                            <w:right w:val="none" w:sz="0" w:space="0" w:color="auto"/>
                          </w:divBdr>
                          <w:divsChild>
                            <w:div w:id="1888952662">
                              <w:marLeft w:val="0"/>
                              <w:marRight w:val="0"/>
                              <w:marTop w:val="0"/>
                              <w:marBottom w:val="45"/>
                              <w:divBdr>
                                <w:top w:val="none" w:sz="0" w:space="0" w:color="auto"/>
                                <w:left w:val="none" w:sz="0" w:space="0" w:color="auto"/>
                                <w:bottom w:val="none" w:sz="0" w:space="0" w:color="auto"/>
                                <w:right w:val="none" w:sz="0" w:space="0" w:color="auto"/>
                              </w:divBdr>
                            </w:div>
                            <w:div w:id="1872373608">
                              <w:marLeft w:val="0"/>
                              <w:marRight w:val="0"/>
                              <w:marTop w:val="45"/>
                              <w:marBottom w:val="0"/>
                              <w:divBdr>
                                <w:top w:val="none" w:sz="0" w:space="0" w:color="auto"/>
                                <w:left w:val="none" w:sz="0" w:space="0" w:color="auto"/>
                                <w:bottom w:val="none" w:sz="0" w:space="0" w:color="auto"/>
                                <w:right w:val="none" w:sz="0" w:space="0" w:color="auto"/>
                              </w:divBdr>
                            </w:div>
                            <w:div w:id="11118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1847164">
          <w:marLeft w:val="0"/>
          <w:marRight w:val="0"/>
          <w:marTop w:val="0"/>
          <w:marBottom w:val="150"/>
          <w:divBdr>
            <w:top w:val="none" w:sz="0" w:space="0" w:color="auto"/>
            <w:left w:val="none" w:sz="0" w:space="0" w:color="auto"/>
            <w:bottom w:val="none" w:sz="0" w:space="0" w:color="auto"/>
            <w:right w:val="none" w:sz="0" w:space="0" w:color="auto"/>
          </w:divBdr>
          <w:divsChild>
            <w:div w:id="561989059">
              <w:marLeft w:val="0"/>
              <w:marRight w:val="0"/>
              <w:marTop w:val="0"/>
              <w:marBottom w:val="0"/>
              <w:divBdr>
                <w:top w:val="none" w:sz="0" w:space="0" w:color="auto"/>
                <w:left w:val="none" w:sz="0" w:space="0" w:color="auto"/>
                <w:bottom w:val="none" w:sz="0" w:space="0" w:color="auto"/>
                <w:right w:val="none" w:sz="0" w:space="0" w:color="auto"/>
              </w:divBdr>
              <w:divsChild>
                <w:div w:id="1366566545">
                  <w:marLeft w:val="-225"/>
                  <w:marRight w:val="-225"/>
                  <w:marTop w:val="0"/>
                  <w:marBottom w:val="0"/>
                  <w:divBdr>
                    <w:top w:val="none" w:sz="0" w:space="0" w:color="auto"/>
                    <w:left w:val="none" w:sz="0" w:space="0" w:color="auto"/>
                    <w:bottom w:val="none" w:sz="0" w:space="0" w:color="auto"/>
                    <w:right w:val="none" w:sz="0" w:space="0" w:color="auto"/>
                  </w:divBdr>
                  <w:divsChild>
                    <w:div w:id="724137750">
                      <w:marLeft w:val="0"/>
                      <w:marRight w:val="0"/>
                      <w:marTop w:val="0"/>
                      <w:marBottom w:val="0"/>
                      <w:divBdr>
                        <w:top w:val="none" w:sz="0" w:space="0" w:color="auto"/>
                        <w:left w:val="none" w:sz="0" w:space="0" w:color="auto"/>
                        <w:bottom w:val="none" w:sz="0" w:space="0" w:color="auto"/>
                        <w:right w:val="none" w:sz="0" w:space="0" w:color="auto"/>
                      </w:divBdr>
                      <w:divsChild>
                        <w:div w:id="192622720">
                          <w:marLeft w:val="0"/>
                          <w:marRight w:val="0"/>
                          <w:marTop w:val="0"/>
                          <w:marBottom w:val="75"/>
                          <w:divBdr>
                            <w:top w:val="none" w:sz="0" w:space="0" w:color="auto"/>
                            <w:left w:val="none" w:sz="0" w:space="0" w:color="auto"/>
                            <w:bottom w:val="none" w:sz="0" w:space="0" w:color="auto"/>
                            <w:right w:val="none" w:sz="0" w:space="0" w:color="auto"/>
                          </w:divBdr>
                        </w:div>
                        <w:div w:id="1013728595">
                          <w:marLeft w:val="0"/>
                          <w:marRight w:val="0"/>
                          <w:marTop w:val="0"/>
                          <w:marBottom w:val="0"/>
                          <w:divBdr>
                            <w:top w:val="none" w:sz="0" w:space="0" w:color="auto"/>
                            <w:left w:val="none" w:sz="0" w:space="0" w:color="auto"/>
                            <w:bottom w:val="none" w:sz="0" w:space="0" w:color="auto"/>
                            <w:right w:val="none" w:sz="0" w:space="0" w:color="auto"/>
                          </w:divBdr>
                        </w:div>
                      </w:divsChild>
                    </w:div>
                    <w:div w:id="1411198901">
                      <w:marLeft w:val="0"/>
                      <w:marRight w:val="0"/>
                      <w:marTop w:val="0"/>
                      <w:marBottom w:val="0"/>
                      <w:divBdr>
                        <w:top w:val="none" w:sz="0" w:space="0" w:color="auto"/>
                        <w:left w:val="none" w:sz="0" w:space="0" w:color="auto"/>
                        <w:bottom w:val="none" w:sz="0" w:space="0" w:color="auto"/>
                        <w:right w:val="none" w:sz="0" w:space="0" w:color="auto"/>
                      </w:divBdr>
                      <w:divsChild>
                        <w:div w:id="1452935151">
                          <w:marLeft w:val="0"/>
                          <w:marRight w:val="0"/>
                          <w:marTop w:val="0"/>
                          <w:marBottom w:val="0"/>
                          <w:divBdr>
                            <w:top w:val="none" w:sz="0" w:space="0" w:color="auto"/>
                            <w:left w:val="none" w:sz="0" w:space="0" w:color="auto"/>
                            <w:bottom w:val="none" w:sz="0" w:space="0" w:color="auto"/>
                            <w:right w:val="none" w:sz="0" w:space="0" w:color="auto"/>
                          </w:divBdr>
                          <w:divsChild>
                            <w:div w:id="532963656">
                              <w:marLeft w:val="0"/>
                              <w:marRight w:val="0"/>
                              <w:marTop w:val="0"/>
                              <w:marBottom w:val="45"/>
                              <w:divBdr>
                                <w:top w:val="none" w:sz="0" w:space="0" w:color="auto"/>
                                <w:left w:val="none" w:sz="0" w:space="0" w:color="auto"/>
                                <w:bottom w:val="none" w:sz="0" w:space="0" w:color="auto"/>
                                <w:right w:val="none" w:sz="0" w:space="0" w:color="auto"/>
                              </w:divBdr>
                            </w:div>
                            <w:div w:id="733162740">
                              <w:marLeft w:val="0"/>
                              <w:marRight w:val="0"/>
                              <w:marTop w:val="45"/>
                              <w:marBottom w:val="0"/>
                              <w:divBdr>
                                <w:top w:val="none" w:sz="0" w:space="0" w:color="auto"/>
                                <w:left w:val="none" w:sz="0" w:space="0" w:color="auto"/>
                                <w:bottom w:val="none" w:sz="0" w:space="0" w:color="auto"/>
                                <w:right w:val="none" w:sz="0" w:space="0" w:color="auto"/>
                              </w:divBdr>
                            </w:div>
                            <w:div w:id="75289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724546">
          <w:marLeft w:val="0"/>
          <w:marRight w:val="0"/>
          <w:marTop w:val="0"/>
          <w:marBottom w:val="150"/>
          <w:divBdr>
            <w:top w:val="none" w:sz="0" w:space="0" w:color="auto"/>
            <w:left w:val="none" w:sz="0" w:space="0" w:color="auto"/>
            <w:bottom w:val="none" w:sz="0" w:space="0" w:color="auto"/>
            <w:right w:val="none" w:sz="0" w:space="0" w:color="auto"/>
          </w:divBdr>
          <w:divsChild>
            <w:div w:id="919677105">
              <w:marLeft w:val="0"/>
              <w:marRight w:val="0"/>
              <w:marTop w:val="0"/>
              <w:marBottom w:val="0"/>
              <w:divBdr>
                <w:top w:val="none" w:sz="0" w:space="0" w:color="auto"/>
                <w:left w:val="none" w:sz="0" w:space="0" w:color="auto"/>
                <w:bottom w:val="none" w:sz="0" w:space="0" w:color="auto"/>
                <w:right w:val="none" w:sz="0" w:space="0" w:color="auto"/>
              </w:divBdr>
              <w:divsChild>
                <w:div w:id="1895579857">
                  <w:marLeft w:val="-225"/>
                  <w:marRight w:val="-225"/>
                  <w:marTop w:val="0"/>
                  <w:marBottom w:val="0"/>
                  <w:divBdr>
                    <w:top w:val="none" w:sz="0" w:space="0" w:color="auto"/>
                    <w:left w:val="none" w:sz="0" w:space="0" w:color="auto"/>
                    <w:bottom w:val="none" w:sz="0" w:space="0" w:color="auto"/>
                    <w:right w:val="none" w:sz="0" w:space="0" w:color="auto"/>
                  </w:divBdr>
                  <w:divsChild>
                    <w:div w:id="837110679">
                      <w:marLeft w:val="0"/>
                      <w:marRight w:val="0"/>
                      <w:marTop w:val="0"/>
                      <w:marBottom w:val="0"/>
                      <w:divBdr>
                        <w:top w:val="none" w:sz="0" w:space="0" w:color="auto"/>
                        <w:left w:val="none" w:sz="0" w:space="0" w:color="auto"/>
                        <w:bottom w:val="none" w:sz="0" w:space="0" w:color="auto"/>
                        <w:right w:val="none" w:sz="0" w:space="0" w:color="auto"/>
                      </w:divBdr>
                      <w:divsChild>
                        <w:div w:id="239288531">
                          <w:marLeft w:val="0"/>
                          <w:marRight w:val="0"/>
                          <w:marTop w:val="0"/>
                          <w:marBottom w:val="75"/>
                          <w:divBdr>
                            <w:top w:val="none" w:sz="0" w:space="0" w:color="auto"/>
                            <w:left w:val="none" w:sz="0" w:space="0" w:color="auto"/>
                            <w:bottom w:val="none" w:sz="0" w:space="0" w:color="auto"/>
                            <w:right w:val="none" w:sz="0" w:space="0" w:color="auto"/>
                          </w:divBdr>
                        </w:div>
                        <w:div w:id="174517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448890">
      <w:bodyDiv w:val="1"/>
      <w:marLeft w:val="0"/>
      <w:marRight w:val="0"/>
      <w:marTop w:val="0"/>
      <w:marBottom w:val="0"/>
      <w:divBdr>
        <w:top w:val="none" w:sz="0" w:space="0" w:color="auto"/>
        <w:left w:val="none" w:sz="0" w:space="0" w:color="auto"/>
        <w:bottom w:val="none" w:sz="0" w:space="0" w:color="auto"/>
        <w:right w:val="none" w:sz="0" w:space="0" w:color="auto"/>
      </w:divBdr>
      <w:divsChild>
        <w:div w:id="1493060100">
          <w:marLeft w:val="0"/>
          <w:marRight w:val="0"/>
          <w:marTop w:val="0"/>
          <w:marBottom w:val="150"/>
          <w:divBdr>
            <w:top w:val="none" w:sz="0" w:space="0" w:color="auto"/>
            <w:left w:val="none" w:sz="0" w:space="0" w:color="auto"/>
            <w:bottom w:val="none" w:sz="0" w:space="0" w:color="auto"/>
            <w:right w:val="none" w:sz="0" w:space="0" w:color="auto"/>
          </w:divBdr>
          <w:divsChild>
            <w:div w:id="1250700900">
              <w:marLeft w:val="0"/>
              <w:marRight w:val="0"/>
              <w:marTop w:val="0"/>
              <w:marBottom w:val="0"/>
              <w:divBdr>
                <w:top w:val="none" w:sz="0" w:space="0" w:color="auto"/>
                <w:left w:val="none" w:sz="0" w:space="0" w:color="auto"/>
                <w:bottom w:val="none" w:sz="0" w:space="0" w:color="auto"/>
                <w:right w:val="none" w:sz="0" w:space="0" w:color="auto"/>
              </w:divBdr>
              <w:divsChild>
                <w:div w:id="1153641247">
                  <w:marLeft w:val="-225"/>
                  <w:marRight w:val="-225"/>
                  <w:marTop w:val="0"/>
                  <w:marBottom w:val="0"/>
                  <w:divBdr>
                    <w:top w:val="none" w:sz="0" w:space="0" w:color="auto"/>
                    <w:left w:val="none" w:sz="0" w:space="0" w:color="auto"/>
                    <w:bottom w:val="none" w:sz="0" w:space="0" w:color="auto"/>
                    <w:right w:val="none" w:sz="0" w:space="0" w:color="auto"/>
                  </w:divBdr>
                  <w:divsChild>
                    <w:div w:id="604730558">
                      <w:marLeft w:val="0"/>
                      <w:marRight w:val="0"/>
                      <w:marTop w:val="0"/>
                      <w:marBottom w:val="0"/>
                      <w:divBdr>
                        <w:top w:val="none" w:sz="0" w:space="0" w:color="auto"/>
                        <w:left w:val="none" w:sz="0" w:space="0" w:color="auto"/>
                        <w:bottom w:val="none" w:sz="0" w:space="0" w:color="auto"/>
                        <w:right w:val="none" w:sz="0" w:space="0" w:color="auto"/>
                      </w:divBdr>
                      <w:divsChild>
                        <w:div w:id="1567031329">
                          <w:marLeft w:val="0"/>
                          <w:marRight w:val="0"/>
                          <w:marTop w:val="0"/>
                          <w:marBottom w:val="75"/>
                          <w:divBdr>
                            <w:top w:val="none" w:sz="0" w:space="0" w:color="auto"/>
                            <w:left w:val="none" w:sz="0" w:space="0" w:color="auto"/>
                            <w:bottom w:val="none" w:sz="0" w:space="0" w:color="auto"/>
                            <w:right w:val="none" w:sz="0" w:space="0" w:color="auto"/>
                          </w:divBdr>
                        </w:div>
                        <w:div w:id="1910073251">
                          <w:marLeft w:val="0"/>
                          <w:marRight w:val="0"/>
                          <w:marTop w:val="0"/>
                          <w:marBottom w:val="0"/>
                          <w:divBdr>
                            <w:top w:val="none" w:sz="0" w:space="0" w:color="auto"/>
                            <w:left w:val="none" w:sz="0" w:space="0" w:color="auto"/>
                            <w:bottom w:val="none" w:sz="0" w:space="0" w:color="auto"/>
                            <w:right w:val="none" w:sz="0" w:space="0" w:color="auto"/>
                          </w:divBdr>
                        </w:div>
                        <w:div w:id="1932935390">
                          <w:marLeft w:val="0"/>
                          <w:marRight w:val="0"/>
                          <w:marTop w:val="225"/>
                          <w:marBottom w:val="225"/>
                          <w:divBdr>
                            <w:top w:val="none" w:sz="0" w:space="0" w:color="auto"/>
                            <w:left w:val="none" w:sz="0" w:space="0" w:color="auto"/>
                            <w:bottom w:val="none" w:sz="0" w:space="0" w:color="auto"/>
                            <w:right w:val="none" w:sz="0" w:space="0" w:color="auto"/>
                          </w:divBdr>
                          <w:divsChild>
                            <w:div w:id="2093309526">
                              <w:marLeft w:val="0"/>
                              <w:marRight w:val="0"/>
                              <w:marTop w:val="0"/>
                              <w:marBottom w:val="75"/>
                              <w:divBdr>
                                <w:top w:val="none" w:sz="0" w:space="0" w:color="auto"/>
                                <w:left w:val="none" w:sz="0" w:space="0" w:color="auto"/>
                                <w:bottom w:val="none" w:sz="0" w:space="0" w:color="auto"/>
                                <w:right w:val="none" w:sz="0" w:space="0" w:color="auto"/>
                              </w:divBdr>
                            </w:div>
                            <w:div w:id="788664165">
                              <w:marLeft w:val="0"/>
                              <w:marRight w:val="0"/>
                              <w:marTop w:val="0"/>
                              <w:marBottom w:val="0"/>
                              <w:divBdr>
                                <w:top w:val="none" w:sz="0" w:space="0" w:color="auto"/>
                                <w:left w:val="none" w:sz="0" w:space="0" w:color="auto"/>
                                <w:bottom w:val="none" w:sz="0" w:space="0" w:color="auto"/>
                                <w:right w:val="none" w:sz="0" w:space="0" w:color="auto"/>
                              </w:divBdr>
                            </w:div>
                            <w:div w:id="35450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83867">
                      <w:marLeft w:val="0"/>
                      <w:marRight w:val="0"/>
                      <w:marTop w:val="0"/>
                      <w:marBottom w:val="0"/>
                      <w:divBdr>
                        <w:top w:val="none" w:sz="0" w:space="0" w:color="auto"/>
                        <w:left w:val="none" w:sz="0" w:space="0" w:color="auto"/>
                        <w:bottom w:val="none" w:sz="0" w:space="0" w:color="auto"/>
                        <w:right w:val="none" w:sz="0" w:space="0" w:color="auto"/>
                      </w:divBdr>
                      <w:divsChild>
                        <w:div w:id="133639857">
                          <w:marLeft w:val="0"/>
                          <w:marRight w:val="0"/>
                          <w:marTop w:val="0"/>
                          <w:marBottom w:val="0"/>
                          <w:divBdr>
                            <w:top w:val="none" w:sz="0" w:space="0" w:color="auto"/>
                            <w:left w:val="none" w:sz="0" w:space="0" w:color="auto"/>
                            <w:bottom w:val="none" w:sz="0" w:space="0" w:color="auto"/>
                            <w:right w:val="none" w:sz="0" w:space="0" w:color="auto"/>
                          </w:divBdr>
                          <w:divsChild>
                            <w:div w:id="1507089194">
                              <w:marLeft w:val="0"/>
                              <w:marRight w:val="0"/>
                              <w:marTop w:val="0"/>
                              <w:marBottom w:val="45"/>
                              <w:divBdr>
                                <w:top w:val="none" w:sz="0" w:space="0" w:color="auto"/>
                                <w:left w:val="none" w:sz="0" w:space="0" w:color="auto"/>
                                <w:bottom w:val="none" w:sz="0" w:space="0" w:color="auto"/>
                                <w:right w:val="none" w:sz="0" w:space="0" w:color="auto"/>
                              </w:divBdr>
                            </w:div>
                            <w:div w:id="28845230">
                              <w:marLeft w:val="0"/>
                              <w:marRight w:val="0"/>
                              <w:marTop w:val="45"/>
                              <w:marBottom w:val="0"/>
                              <w:divBdr>
                                <w:top w:val="none" w:sz="0" w:space="0" w:color="auto"/>
                                <w:left w:val="none" w:sz="0" w:space="0" w:color="auto"/>
                                <w:bottom w:val="none" w:sz="0" w:space="0" w:color="auto"/>
                                <w:right w:val="none" w:sz="0" w:space="0" w:color="auto"/>
                              </w:divBdr>
                            </w:div>
                            <w:div w:id="10091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114740">
          <w:marLeft w:val="0"/>
          <w:marRight w:val="0"/>
          <w:marTop w:val="0"/>
          <w:marBottom w:val="150"/>
          <w:divBdr>
            <w:top w:val="none" w:sz="0" w:space="0" w:color="auto"/>
            <w:left w:val="none" w:sz="0" w:space="0" w:color="auto"/>
            <w:bottom w:val="none" w:sz="0" w:space="0" w:color="auto"/>
            <w:right w:val="none" w:sz="0" w:space="0" w:color="auto"/>
          </w:divBdr>
          <w:divsChild>
            <w:div w:id="1446845194">
              <w:marLeft w:val="0"/>
              <w:marRight w:val="0"/>
              <w:marTop w:val="0"/>
              <w:marBottom w:val="0"/>
              <w:divBdr>
                <w:top w:val="none" w:sz="0" w:space="0" w:color="auto"/>
                <w:left w:val="none" w:sz="0" w:space="0" w:color="auto"/>
                <w:bottom w:val="none" w:sz="0" w:space="0" w:color="auto"/>
                <w:right w:val="none" w:sz="0" w:space="0" w:color="auto"/>
              </w:divBdr>
              <w:divsChild>
                <w:div w:id="400911456">
                  <w:marLeft w:val="-225"/>
                  <w:marRight w:val="-225"/>
                  <w:marTop w:val="0"/>
                  <w:marBottom w:val="0"/>
                  <w:divBdr>
                    <w:top w:val="none" w:sz="0" w:space="0" w:color="auto"/>
                    <w:left w:val="none" w:sz="0" w:space="0" w:color="auto"/>
                    <w:bottom w:val="none" w:sz="0" w:space="0" w:color="auto"/>
                    <w:right w:val="none" w:sz="0" w:space="0" w:color="auto"/>
                  </w:divBdr>
                  <w:divsChild>
                    <w:div w:id="374430097">
                      <w:marLeft w:val="0"/>
                      <w:marRight w:val="0"/>
                      <w:marTop w:val="0"/>
                      <w:marBottom w:val="0"/>
                      <w:divBdr>
                        <w:top w:val="none" w:sz="0" w:space="0" w:color="auto"/>
                        <w:left w:val="none" w:sz="0" w:space="0" w:color="auto"/>
                        <w:bottom w:val="none" w:sz="0" w:space="0" w:color="auto"/>
                        <w:right w:val="none" w:sz="0" w:space="0" w:color="auto"/>
                      </w:divBdr>
                      <w:divsChild>
                        <w:div w:id="369843398">
                          <w:marLeft w:val="0"/>
                          <w:marRight w:val="0"/>
                          <w:marTop w:val="0"/>
                          <w:marBottom w:val="75"/>
                          <w:divBdr>
                            <w:top w:val="none" w:sz="0" w:space="0" w:color="auto"/>
                            <w:left w:val="none" w:sz="0" w:space="0" w:color="auto"/>
                            <w:bottom w:val="none" w:sz="0" w:space="0" w:color="auto"/>
                            <w:right w:val="none" w:sz="0" w:space="0" w:color="auto"/>
                          </w:divBdr>
                        </w:div>
                        <w:div w:id="979387129">
                          <w:marLeft w:val="0"/>
                          <w:marRight w:val="0"/>
                          <w:marTop w:val="0"/>
                          <w:marBottom w:val="0"/>
                          <w:divBdr>
                            <w:top w:val="none" w:sz="0" w:space="0" w:color="auto"/>
                            <w:left w:val="none" w:sz="0" w:space="0" w:color="auto"/>
                            <w:bottom w:val="none" w:sz="0" w:space="0" w:color="auto"/>
                            <w:right w:val="none" w:sz="0" w:space="0" w:color="auto"/>
                          </w:divBdr>
                        </w:div>
                        <w:div w:id="1616016806">
                          <w:marLeft w:val="0"/>
                          <w:marRight w:val="0"/>
                          <w:marTop w:val="225"/>
                          <w:marBottom w:val="225"/>
                          <w:divBdr>
                            <w:top w:val="none" w:sz="0" w:space="0" w:color="auto"/>
                            <w:left w:val="none" w:sz="0" w:space="0" w:color="auto"/>
                            <w:bottom w:val="none" w:sz="0" w:space="0" w:color="auto"/>
                            <w:right w:val="none" w:sz="0" w:space="0" w:color="auto"/>
                          </w:divBdr>
                          <w:divsChild>
                            <w:div w:id="1707557272">
                              <w:marLeft w:val="0"/>
                              <w:marRight w:val="0"/>
                              <w:marTop w:val="0"/>
                              <w:marBottom w:val="75"/>
                              <w:divBdr>
                                <w:top w:val="none" w:sz="0" w:space="0" w:color="auto"/>
                                <w:left w:val="none" w:sz="0" w:space="0" w:color="auto"/>
                                <w:bottom w:val="none" w:sz="0" w:space="0" w:color="auto"/>
                                <w:right w:val="none" w:sz="0" w:space="0" w:color="auto"/>
                              </w:divBdr>
                            </w:div>
                            <w:div w:id="193134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19189">
                      <w:marLeft w:val="0"/>
                      <w:marRight w:val="0"/>
                      <w:marTop w:val="0"/>
                      <w:marBottom w:val="0"/>
                      <w:divBdr>
                        <w:top w:val="none" w:sz="0" w:space="0" w:color="auto"/>
                        <w:left w:val="none" w:sz="0" w:space="0" w:color="auto"/>
                        <w:bottom w:val="none" w:sz="0" w:space="0" w:color="auto"/>
                        <w:right w:val="none" w:sz="0" w:space="0" w:color="auto"/>
                      </w:divBdr>
                      <w:divsChild>
                        <w:div w:id="1662810538">
                          <w:marLeft w:val="0"/>
                          <w:marRight w:val="0"/>
                          <w:marTop w:val="0"/>
                          <w:marBottom w:val="0"/>
                          <w:divBdr>
                            <w:top w:val="none" w:sz="0" w:space="0" w:color="auto"/>
                            <w:left w:val="none" w:sz="0" w:space="0" w:color="auto"/>
                            <w:bottom w:val="none" w:sz="0" w:space="0" w:color="auto"/>
                            <w:right w:val="none" w:sz="0" w:space="0" w:color="auto"/>
                          </w:divBdr>
                          <w:divsChild>
                            <w:div w:id="774405742">
                              <w:marLeft w:val="0"/>
                              <w:marRight w:val="0"/>
                              <w:marTop w:val="0"/>
                              <w:marBottom w:val="45"/>
                              <w:divBdr>
                                <w:top w:val="none" w:sz="0" w:space="0" w:color="auto"/>
                                <w:left w:val="none" w:sz="0" w:space="0" w:color="auto"/>
                                <w:bottom w:val="none" w:sz="0" w:space="0" w:color="auto"/>
                                <w:right w:val="none" w:sz="0" w:space="0" w:color="auto"/>
                              </w:divBdr>
                            </w:div>
                            <w:div w:id="28377656">
                              <w:marLeft w:val="0"/>
                              <w:marRight w:val="0"/>
                              <w:marTop w:val="45"/>
                              <w:marBottom w:val="0"/>
                              <w:divBdr>
                                <w:top w:val="none" w:sz="0" w:space="0" w:color="auto"/>
                                <w:left w:val="none" w:sz="0" w:space="0" w:color="auto"/>
                                <w:bottom w:val="none" w:sz="0" w:space="0" w:color="auto"/>
                                <w:right w:val="none" w:sz="0" w:space="0" w:color="auto"/>
                              </w:divBdr>
                            </w:div>
                            <w:div w:id="94254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201789">
          <w:marLeft w:val="0"/>
          <w:marRight w:val="0"/>
          <w:marTop w:val="0"/>
          <w:marBottom w:val="150"/>
          <w:divBdr>
            <w:top w:val="none" w:sz="0" w:space="0" w:color="auto"/>
            <w:left w:val="none" w:sz="0" w:space="0" w:color="auto"/>
            <w:bottom w:val="none" w:sz="0" w:space="0" w:color="auto"/>
            <w:right w:val="none" w:sz="0" w:space="0" w:color="auto"/>
          </w:divBdr>
          <w:divsChild>
            <w:div w:id="2054495115">
              <w:marLeft w:val="0"/>
              <w:marRight w:val="0"/>
              <w:marTop w:val="0"/>
              <w:marBottom w:val="0"/>
              <w:divBdr>
                <w:top w:val="none" w:sz="0" w:space="0" w:color="auto"/>
                <w:left w:val="none" w:sz="0" w:space="0" w:color="auto"/>
                <w:bottom w:val="none" w:sz="0" w:space="0" w:color="auto"/>
                <w:right w:val="none" w:sz="0" w:space="0" w:color="auto"/>
              </w:divBdr>
              <w:divsChild>
                <w:div w:id="1975015406">
                  <w:marLeft w:val="-225"/>
                  <w:marRight w:val="-225"/>
                  <w:marTop w:val="0"/>
                  <w:marBottom w:val="0"/>
                  <w:divBdr>
                    <w:top w:val="none" w:sz="0" w:space="0" w:color="auto"/>
                    <w:left w:val="none" w:sz="0" w:space="0" w:color="auto"/>
                    <w:bottom w:val="none" w:sz="0" w:space="0" w:color="auto"/>
                    <w:right w:val="none" w:sz="0" w:space="0" w:color="auto"/>
                  </w:divBdr>
                  <w:divsChild>
                    <w:div w:id="449280482">
                      <w:marLeft w:val="0"/>
                      <w:marRight w:val="0"/>
                      <w:marTop w:val="0"/>
                      <w:marBottom w:val="0"/>
                      <w:divBdr>
                        <w:top w:val="none" w:sz="0" w:space="0" w:color="auto"/>
                        <w:left w:val="none" w:sz="0" w:space="0" w:color="auto"/>
                        <w:bottom w:val="none" w:sz="0" w:space="0" w:color="auto"/>
                        <w:right w:val="none" w:sz="0" w:space="0" w:color="auto"/>
                      </w:divBdr>
                      <w:divsChild>
                        <w:div w:id="719014242">
                          <w:marLeft w:val="0"/>
                          <w:marRight w:val="0"/>
                          <w:marTop w:val="0"/>
                          <w:marBottom w:val="75"/>
                          <w:divBdr>
                            <w:top w:val="none" w:sz="0" w:space="0" w:color="auto"/>
                            <w:left w:val="none" w:sz="0" w:space="0" w:color="auto"/>
                            <w:bottom w:val="none" w:sz="0" w:space="0" w:color="auto"/>
                            <w:right w:val="none" w:sz="0" w:space="0" w:color="auto"/>
                          </w:divBdr>
                        </w:div>
                        <w:div w:id="1324234072">
                          <w:marLeft w:val="0"/>
                          <w:marRight w:val="0"/>
                          <w:marTop w:val="0"/>
                          <w:marBottom w:val="0"/>
                          <w:divBdr>
                            <w:top w:val="none" w:sz="0" w:space="0" w:color="auto"/>
                            <w:left w:val="none" w:sz="0" w:space="0" w:color="auto"/>
                            <w:bottom w:val="none" w:sz="0" w:space="0" w:color="auto"/>
                            <w:right w:val="none" w:sz="0" w:space="0" w:color="auto"/>
                          </w:divBdr>
                        </w:div>
                      </w:divsChild>
                    </w:div>
                    <w:div w:id="670839301">
                      <w:marLeft w:val="0"/>
                      <w:marRight w:val="0"/>
                      <w:marTop w:val="0"/>
                      <w:marBottom w:val="0"/>
                      <w:divBdr>
                        <w:top w:val="none" w:sz="0" w:space="0" w:color="auto"/>
                        <w:left w:val="none" w:sz="0" w:space="0" w:color="auto"/>
                        <w:bottom w:val="none" w:sz="0" w:space="0" w:color="auto"/>
                        <w:right w:val="none" w:sz="0" w:space="0" w:color="auto"/>
                      </w:divBdr>
                      <w:divsChild>
                        <w:div w:id="112868013">
                          <w:marLeft w:val="0"/>
                          <w:marRight w:val="0"/>
                          <w:marTop w:val="0"/>
                          <w:marBottom w:val="0"/>
                          <w:divBdr>
                            <w:top w:val="none" w:sz="0" w:space="0" w:color="auto"/>
                            <w:left w:val="none" w:sz="0" w:space="0" w:color="auto"/>
                            <w:bottom w:val="none" w:sz="0" w:space="0" w:color="auto"/>
                            <w:right w:val="none" w:sz="0" w:space="0" w:color="auto"/>
                          </w:divBdr>
                          <w:divsChild>
                            <w:div w:id="1837383254">
                              <w:marLeft w:val="0"/>
                              <w:marRight w:val="0"/>
                              <w:marTop w:val="0"/>
                              <w:marBottom w:val="45"/>
                              <w:divBdr>
                                <w:top w:val="none" w:sz="0" w:space="0" w:color="auto"/>
                                <w:left w:val="none" w:sz="0" w:space="0" w:color="auto"/>
                                <w:bottom w:val="none" w:sz="0" w:space="0" w:color="auto"/>
                                <w:right w:val="none" w:sz="0" w:space="0" w:color="auto"/>
                              </w:divBdr>
                            </w:div>
                            <w:div w:id="130827464">
                              <w:marLeft w:val="0"/>
                              <w:marRight w:val="0"/>
                              <w:marTop w:val="45"/>
                              <w:marBottom w:val="0"/>
                              <w:divBdr>
                                <w:top w:val="none" w:sz="0" w:space="0" w:color="auto"/>
                                <w:left w:val="none" w:sz="0" w:space="0" w:color="auto"/>
                                <w:bottom w:val="none" w:sz="0" w:space="0" w:color="auto"/>
                                <w:right w:val="none" w:sz="0" w:space="0" w:color="auto"/>
                              </w:divBdr>
                            </w:div>
                            <w:div w:id="141355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779236">
          <w:marLeft w:val="0"/>
          <w:marRight w:val="0"/>
          <w:marTop w:val="0"/>
          <w:marBottom w:val="150"/>
          <w:divBdr>
            <w:top w:val="none" w:sz="0" w:space="0" w:color="auto"/>
            <w:left w:val="none" w:sz="0" w:space="0" w:color="auto"/>
            <w:bottom w:val="none" w:sz="0" w:space="0" w:color="auto"/>
            <w:right w:val="none" w:sz="0" w:space="0" w:color="auto"/>
          </w:divBdr>
          <w:divsChild>
            <w:div w:id="186527741">
              <w:marLeft w:val="0"/>
              <w:marRight w:val="0"/>
              <w:marTop w:val="0"/>
              <w:marBottom w:val="0"/>
              <w:divBdr>
                <w:top w:val="none" w:sz="0" w:space="0" w:color="auto"/>
                <w:left w:val="none" w:sz="0" w:space="0" w:color="auto"/>
                <w:bottom w:val="none" w:sz="0" w:space="0" w:color="auto"/>
                <w:right w:val="none" w:sz="0" w:space="0" w:color="auto"/>
              </w:divBdr>
              <w:divsChild>
                <w:div w:id="793212326">
                  <w:marLeft w:val="-225"/>
                  <w:marRight w:val="-225"/>
                  <w:marTop w:val="0"/>
                  <w:marBottom w:val="0"/>
                  <w:divBdr>
                    <w:top w:val="none" w:sz="0" w:space="0" w:color="auto"/>
                    <w:left w:val="none" w:sz="0" w:space="0" w:color="auto"/>
                    <w:bottom w:val="none" w:sz="0" w:space="0" w:color="auto"/>
                    <w:right w:val="none" w:sz="0" w:space="0" w:color="auto"/>
                  </w:divBdr>
                  <w:divsChild>
                    <w:div w:id="1099838185">
                      <w:marLeft w:val="0"/>
                      <w:marRight w:val="0"/>
                      <w:marTop w:val="0"/>
                      <w:marBottom w:val="0"/>
                      <w:divBdr>
                        <w:top w:val="none" w:sz="0" w:space="0" w:color="auto"/>
                        <w:left w:val="none" w:sz="0" w:space="0" w:color="auto"/>
                        <w:bottom w:val="none" w:sz="0" w:space="0" w:color="auto"/>
                        <w:right w:val="none" w:sz="0" w:space="0" w:color="auto"/>
                      </w:divBdr>
                      <w:divsChild>
                        <w:div w:id="1661613207">
                          <w:marLeft w:val="0"/>
                          <w:marRight w:val="0"/>
                          <w:marTop w:val="0"/>
                          <w:marBottom w:val="75"/>
                          <w:divBdr>
                            <w:top w:val="none" w:sz="0" w:space="0" w:color="auto"/>
                            <w:left w:val="none" w:sz="0" w:space="0" w:color="auto"/>
                            <w:bottom w:val="none" w:sz="0" w:space="0" w:color="auto"/>
                            <w:right w:val="none" w:sz="0" w:space="0" w:color="auto"/>
                          </w:divBdr>
                        </w:div>
                        <w:div w:id="593827031">
                          <w:marLeft w:val="0"/>
                          <w:marRight w:val="0"/>
                          <w:marTop w:val="0"/>
                          <w:marBottom w:val="0"/>
                          <w:divBdr>
                            <w:top w:val="none" w:sz="0" w:space="0" w:color="auto"/>
                            <w:left w:val="none" w:sz="0" w:space="0" w:color="auto"/>
                            <w:bottom w:val="none" w:sz="0" w:space="0" w:color="auto"/>
                            <w:right w:val="none" w:sz="0" w:space="0" w:color="auto"/>
                          </w:divBdr>
                        </w:div>
                        <w:div w:id="790977094">
                          <w:marLeft w:val="0"/>
                          <w:marRight w:val="0"/>
                          <w:marTop w:val="225"/>
                          <w:marBottom w:val="225"/>
                          <w:divBdr>
                            <w:top w:val="none" w:sz="0" w:space="0" w:color="auto"/>
                            <w:left w:val="none" w:sz="0" w:space="0" w:color="auto"/>
                            <w:bottom w:val="none" w:sz="0" w:space="0" w:color="auto"/>
                            <w:right w:val="none" w:sz="0" w:space="0" w:color="auto"/>
                          </w:divBdr>
                          <w:divsChild>
                            <w:div w:id="295112367">
                              <w:marLeft w:val="0"/>
                              <w:marRight w:val="0"/>
                              <w:marTop w:val="0"/>
                              <w:marBottom w:val="75"/>
                              <w:divBdr>
                                <w:top w:val="none" w:sz="0" w:space="0" w:color="auto"/>
                                <w:left w:val="none" w:sz="0" w:space="0" w:color="auto"/>
                                <w:bottom w:val="none" w:sz="0" w:space="0" w:color="auto"/>
                                <w:right w:val="none" w:sz="0" w:space="0" w:color="auto"/>
                              </w:divBdr>
                            </w:div>
                            <w:div w:id="127822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71734">
                      <w:marLeft w:val="0"/>
                      <w:marRight w:val="0"/>
                      <w:marTop w:val="0"/>
                      <w:marBottom w:val="0"/>
                      <w:divBdr>
                        <w:top w:val="none" w:sz="0" w:space="0" w:color="auto"/>
                        <w:left w:val="none" w:sz="0" w:space="0" w:color="auto"/>
                        <w:bottom w:val="none" w:sz="0" w:space="0" w:color="auto"/>
                        <w:right w:val="none" w:sz="0" w:space="0" w:color="auto"/>
                      </w:divBdr>
                      <w:divsChild>
                        <w:div w:id="86196167">
                          <w:marLeft w:val="0"/>
                          <w:marRight w:val="0"/>
                          <w:marTop w:val="0"/>
                          <w:marBottom w:val="0"/>
                          <w:divBdr>
                            <w:top w:val="none" w:sz="0" w:space="0" w:color="auto"/>
                            <w:left w:val="none" w:sz="0" w:space="0" w:color="auto"/>
                            <w:bottom w:val="none" w:sz="0" w:space="0" w:color="auto"/>
                            <w:right w:val="none" w:sz="0" w:space="0" w:color="auto"/>
                          </w:divBdr>
                          <w:divsChild>
                            <w:div w:id="932317461">
                              <w:marLeft w:val="0"/>
                              <w:marRight w:val="0"/>
                              <w:marTop w:val="0"/>
                              <w:marBottom w:val="45"/>
                              <w:divBdr>
                                <w:top w:val="none" w:sz="0" w:space="0" w:color="auto"/>
                                <w:left w:val="none" w:sz="0" w:space="0" w:color="auto"/>
                                <w:bottom w:val="none" w:sz="0" w:space="0" w:color="auto"/>
                                <w:right w:val="none" w:sz="0" w:space="0" w:color="auto"/>
                              </w:divBdr>
                            </w:div>
                            <w:div w:id="61098803">
                              <w:marLeft w:val="0"/>
                              <w:marRight w:val="0"/>
                              <w:marTop w:val="45"/>
                              <w:marBottom w:val="0"/>
                              <w:divBdr>
                                <w:top w:val="none" w:sz="0" w:space="0" w:color="auto"/>
                                <w:left w:val="none" w:sz="0" w:space="0" w:color="auto"/>
                                <w:bottom w:val="none" w:sz="0" w:space="0" w:color="auto"/>
                                <w:right w:val="none" w:sz="0" w:space="0" w:color="auto"/>
                              </w:divBdr>
                            </w:div>
                            <w:div w:id="201530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512230">
          <w:marLeft w:val="0"/>
          <w:marRight w:val="0"/>
          <w:marTop w:val="0"/>
          <w:marBottom w:val="150"/>
          <w:divBdr>
            <w:top w:val="none" w:sz="0" w:space="0" w:color="auto"/>
            <w:left w:val="none" w:sz="0" w:space="0" w:color="auto"/>
            <w:bottom w:val="none" w:sz="0" w:space="0" w:color="auto"/>
            <w:right w:val="none" w:sz="0" w:space="0" w:color="auto"/>
          </w:divBdr>
          <w:divsChild>
            <w:div w:id="292908651">
              <w:marLeft w:val="0"/>
              <w:marRight w:val="0"/>
              <w:marTop w:val="0"/>
              <w:marBottom w:val="0"/>
              <w:divBdr>
                <w:top w:val="none" w:sz="0" w:space="0" w:color="auto"/>
                <w:left w:val="none" w:sz="0" w:space="0" w:color="auto"/>
                <w:bottom w:val="none" w:sz="0" w:space="0" w:color="auto"/>
                <w:right w:val="none" w:sz="0" w:space="0" w:color="auto"/>
              </w:divBdr>
              <w:divsChild>
                <w:div w:id="1119684555">
                  <w:marLeft w:val="-225"/>
                  <w:marRight w:val="-225"/>
                  <w:marTop w:val="0"/>
                  <w:marBottom w:val="0"/>
                  <w:divBdr>
                    <w:top w:val="none" w:sz="0" w:space="0" w:color="auto"/>
                    <w:left w:val="none" w:sz="0" w:space="0" w:color="auto"/>
                    <w:bottom w:val="none" w:sz="0" w:space="0" w:color="auto"/>
                    <w:right w:val="none" w:sz="0" w:space="0" w:color="auto"/>
                  </w:divBdr>
                  <w:divsChild>
                    <w:div w:id="1865509731">
                      <w:marLeft w:val="0"/>
                      <w:marRight w:val="0"/>
                      <w:marTop w:val="0"/>
                      <w:marBottom w:val="0"/>
                      <w:divBdr>
                        <w:top w:val="none" w:sz="0" w:space="0" w:color="auto"/>
                        <w:left w:val="none" w:sz="0" w:space="0" w:color="auto"/>
                        <w:bottom w:val="none" w:sz="0" w:space="0" w:color="auto"/>
                        <w:right w:val="none" w:sz="0" w:space="0" w:color="auto"/>
                      </w:divBdr>
                      <w:divsChild>
                        <w:div w:id="1075590857">
                          <w:marLeft w:val="0"/>
                          <w:marRight w:val="0"/>
                          <w:marTop w:val="0"/>
                          <w:marBottom w:val="75"/>
                          <w:divBdr>
                            <w:top w:val="none" w:sz="0" w:space="0" w:color="auto"/>
                            <w:left w:val="none" w:sz="0" w:space="0" w:color="auto"/>
                            <w:bottom w:val="none" w:sz="0" w:space="0" w:color="auto"/>
                            <w:right w:val="none" w:sz="0" w:space="0" w:color="auto"/>
                          </w:divBdr>
                        </w:div>
                        <w:div w:id="1457334845">
                          <w:marLeft w:val="0"/>
                          <w:marRight w:val="0"/>
                          <w:marTop w:val="0"/>
                          <w:marBottom w:val="0"/>
                          <w:divBdr>
                            <w:top w:val="none" w:sz="0" w:space="0" w:color="auto"/>
                            <w:left w:val="none" w:sz="0" w:space="0" w:color="auto"/>
                            <w:bottom w:val="none" w:sz="0" w:space="0" w:color="auto"/>
                            <w:right w:val="none" w:sz="0" w:space="0" w:color="auto"/>
                          </w:divBdr>
                        </w:div>
                      </w:divsChild>
                    </w:div>
                    <w:div w:id="772826638">
                      <w:marLeft w:val="0"/>
                      <w:marRight w:val="0"/>
                      <w:marTop w:val="0"/>
                      <w:marBottom w:val="0"/>
                      <w:divBdr>
                        <w:top w:val="none" w:sz="0" w:space="0" w:color="auto"/>
                        <w:left w:val="none" w:sz="0" w:space="0" w:color="auto"/>
                        <w:bottom w:val="none" w:sz="0" w:space="0" w:color="auto"/>
                        <w:right w:val="none" w:sz="0" w:space="0" w:color="auto"/>
                      </w:divBdr>
                      <w:divsChild>
                        <w:div w:id="1767537437">
                          <w:marLeft w:val="0"/>
                          <w:marRight w:val="0"/>
                          <w:marTop w:val="0"/>
                          <w:marBottom w:val="0"/>
                          <w:divBdr>
                            <w:top w:val="none" w:sz="0" w:space="0" w:color="auto"/>
                            <w:left w:val="none" w:sz="0" w:space="0" w:color="auto"/>
                            <w:bottom w:val="none" w:sz="0" w:space="0" w:color="auto"/>
                            <w:right w:val="none" w:sz="0" w:space="0" w:color="auto"/>
                          </w:divBdr>
                          <w:divsChild>
                            <w:div w:id="1706325822">
                              <w:marLeft w:val="0"/>
                              <w:marRight w:val="0"/>
                              <w:marTop w:val="0"/>
                              <w:marBottom w:val="45"/>
                              <w:divBdr>
                                <w:top w:val="none" w:sz="0" w:space="0" w:color="auto"/>
                                <w:left w:val="none" w:sz="0" w:space="0" w:color="auto"/>
                                <w:bottom w:val="none" w:sz="0" w:space="0" w:color="auto"/>
                                <w:right w:val="none" w:sz="0" w:space="0" w:color="auto"/>
                              </w:divBdr>
                            </w:div>
                            <w:div w:id="1123425451">
                              <w:marLeft w:val="0"/>
                              <w:marRight w:val="0"/>
                              <w:marTop w:val="45"/>
                              <w:marBottom w:val="0"/>
                              <w:divBdr>
                                <w:top w:val="none" w:sz="0" w:space="0" w:color="auto"/>
                                <w:left w:val="none" w:sz="0" w:space="0" w:color="auto"/>
                                <w:bottom w:val="none" w:sz="0" w:space="0" w:color="auto"/>
                                <w:right w:val="none" w:sz="0" w:space="0" w:color="auto"/>
                              </w:divBdr>
                            </w:div>
                            <w:div w:id="18275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334211">
          <w:marLeft w:val="0"/>
          <w:marRight w:val="0"/>
          <w:marTop w:val="0"/>
          <w:marBottom w:val="150"/>
          <w:divBdr>
            <w:top w:val="none" w:sz="0" w:space="0" w:color="auto"/>
            <w:left w:val="none" w:sz="0" w:space="0" w:color="auto"/>
            <w:bottom w:val="none" w:sz="0" w:space="0" w:color="auto"/>
            <w:right w:val="none" w:sz="0" w:space="0" w:color="auto"/>
          </w:divBdr>
          <w:divsChild>
            <w:div w:id="1578125558">
              <w:marLeft w:val="0"/>
              <w:marRight w:val="0"/>
              <w:marTop w:val="0"/>
              <w:marBottom w:val="0"/>
              <w:divBdr>
                <w:top w:val="none" w:sz="0" w:space="0" w:color="auto"/>
                <w:left w:val="none" w:sz="0" w:space="0" w:color="auto"/>
                <w:bottom w:val="none" w:sz="0" w:space="0" w:color="auto"/>
                <w:right w:val="none" w:sz="0" w:space="0" w:color="auto"/>
              </w:divBdr>
              <w:divsChild>
                <w:div w:id="1928613983">
                  <w:marLeft w:val="-225"/>
                  <w:marRight w:val="-225"/>
                  <w:marTop w:val="0"/>
                  <w:marBottom w:val="0"/>
                  <w:divBdr>
                    <w:top w:val="none" w:sz="0" w:space="0" w:color="auto"/>
                    <w:left w:val="none" w:sz="0" w:space="0" w:color="auto"/>
                    <w:bottom w:val="none" w:sz="0" w:space="0" w:color="auto"/>
                    <w:right w:val="none" w:sz="0" w:space="0" w:color="auto"/>
                  </w:divBdr>
                  <w:divsChild>
                    <w:div w:id="416558440">
                      <w:marLeft w:val="0"/>
                      <w:marRight w:val="0"/>
                      <w:marTop w:val="0"/>
                      <w:marBottom w:val="0"/>
                      <w:divBdr>
                        <w:top w:val="none" w:sz="0" w:space="0" w:color="auto"/>
                        <w:left w:val="none" w:sz="0" w:space="0" w:color="auto"/>
                        <w:bottom w:val="none" w:sz="0" w:space="0" w:color="auto"/>
                        <w:right w:val="none" w:sz="0" w:space="0" w:color="auto"/>
                      </w:divBdr>
                      <w:divsChild>
                        <w:div w:id="1568806914">
                          <w:marLeft w:val="0"/>
                          <w:marRight w:val="0"/>
                          <w:marTop w:val="0"/>
                          <w:marBottom w:val="75"/>
                          <w:divBdr>
                            <w:top w:val="none" w:sz="0" w:space="0" w:color="auto"/>
                            <w:left w:val="none" w:sz="0" w:space="0" w:color="auto"/>
                            <w:bottom w:val="none" w:sz="0" w:space="0" w:color="auto"/>
                            <w:right w:val="none" w:sz="0" w:space="0" w:color="auto"/>
                          </w:divBdr>
                        </w:div>
                        <w:div w:id="45621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dlil.com/definition-de-chandeliers-japonnais-125511.html" TargetMode="External"/><Relationship Id="rId13" Type="http://schemas.openxmlformats.org/officeDocument/2006/relationships/hyperlink" Target="https://www.andlil.com/forum/ressources/image/137738" TargetMode="External"/><Relationship Id="rId18" Type="http://schemas.openxmlformats.org/officeDocument/2006/relationships/hyperlink" Target="https://www.andlil.com/definition-de-tendance-129201.html" TargetMode="External"/><Relationship Id="rId26" Type="http://schemas.openxmlformats.org/officeDocument/2006/relationships/hyperlink" Target="https://www.andlil.com/definition-de-resistance-132695.html" TargetMode="External"/><Relationship Id="rId3" Type="http://schemas.openxmlformats.org/officeDocument/2006/relationships/webSettings" Target="webSettings.xml"/><Relationship Id="rId21" Type="http://schemas.openxmlformats.org/officeDocument/2006/relationships/hyperlink" Target="https://www.andlil.com/forum/ressources/image/137742" TargetMode="External"/><Relationship Id="rId7" Type="http://schemas.openxmlformats.org/officeDocument/2006/relationships/hyperlink" Target="https://www.andlil.com/definition-moyenne-mobile-130217.html" TargetMode="External"/><Relationship Id="rId12" Type="http://schemas.openxmlformats.org/officeDocument/2006/relationships/image" Target="media/image1.png"/><Relationship Id="rId17" Type="http://schemas.openxmlformats.org/officeDocument/2006/relationships/hyperlink" Target="https://www.andlil.com/definition-de-volatilite-132162.html" TargetMode="External"/><Relationship Id="rId25" Type="http://schemas.openxmlformats.org/officeDocument/2006/relationships/hyperlink" Target="https://www.andlil.com/definition-de-tendance-129201.html" TargetMode="Externa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hyperlink" Target="https://www.andlil.com/definition-de-range-131307.html" TargetMode="External"/><Relationship Id="rId1" Type="http://schemas.openxmlformats.org/officeDocument/2006/relationships/styles" Target="styles.xml"/><Relationship Id="rId6" Type="http://schemas.openxmlformats.org/officeDocument/2006/relationships/hyperlink" Target="https://www.andlil.com/definition-des-volumes-128507.html" TargetMode="External"/><Relationship Id="rId11" Type="http://schemas.openxmlformats.org/officeDocument/2006/relationships/hyperlink" Target="https://www.andlil.com/forum/ressources/image/137739" TargetMode="External"/><Relationship Id="rId24" Type="http://schemas.openxmlformats.org/officeDocument/2006/relationships/hyperlink" Target="https://www.andlil.com/definition-de-tendance-129201.html" TargetMode="External"/><Relationship Id="rId5" Type="http://schemas.openxmlformats.org/officeDocument/2006/relationships/hyperlink" Target="https://www.andlil.com/societe-total-126700.html" TargetMode="External"/><Relationship Id="rId15" Type="http://schemas.openxmlformats.org/officeDocument/2006/relationships/hyperlink" Target="https://www.andlil.com/forum/ressources/image/137740" TargetMode="External"/><Relationship Id="rId23" Type="http://schemas.openxmlformats.org/officeDocument/2006/relationships/hyperlink" Target="https://www.andlil.com/definition-de-resistance-132695.html" TargetMode="External"/><Relationship Id="rId28" Type="http://schemas.openxmlformats.org/officeDocument/2006/relationships/theme" Target="theme/theme1.xml"/><Relationship Id="rId10" Type="http://schemas.openxmlformats.org/officeDocument/2006/relationships/hyperlink" Target="https://www.andlil.com/definition-de-tendance-129201.html" TargetMode="External"/><Relationship Id="rId19" Type="http://schemas.openxmlformats.org/officeDocument/2006/relationships/hyperlink" Target="https://www.andlil.com/definition-de-bull-132013.html" TargetMode="External"/><Relationship Id="rId4" Type="http://schemas.openxmlformats.org/officeDocument/2006/relationships/hyperlink" Target="https://www.andlil.com/definition-moyenne-mobile-130217.html" TargetMode="External"/><Relationship Id="rId9" Type="http://schemas.openxmlformats.org/officeDocument/2006/relationships/hyperlink" Target="https://www.andlil.com/definition-de-resistance-132695.html" TargetMode="Externa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1994</Words>
  <Characters>10971</Characters>
  <Application>Microsoft Office Word</Application>
  <DocSecurity>0</DocSecurity>
  <Lines>91</Lines>
  <Paragraphs>25</Paragraphs>
  <ScaleCrop>false</ScaleCrop>
  <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dc:creator>
  <cp:keywords/>
  <dc:description/>
  <cp:lastModifiedBy>Thierry</cp:lastModifiedBy>
  <cp:revision>2</cp:revision>
  <dcterms:created xsi:type="dcterms:W3CDTF">2020-06-15T17:41:00Z</dcterms:created>
  <dcterms:modified xsi:type="dcterms:W3CDTF">2020-06-15T17:46:00Z</dcterms:modified>
</cp:coreProperties>
</file>